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E38FF">
      <w:pPr>
        <w:bidi w:val="0"/>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通州区梨园镇强力家居土地一级开发项目FZX-0303-6001地块R2二类居住用地</w:t>
      </w:r>
    </w:p>
    <w:p w14:paraId="335AF9BC">
      <w:pPr>
        <w:bidi w:val="0"/>
        <w:jc w:val="center"/>
        <w:rPr>
          <w:rFonts w:hint="eastAsia" w:ascii="方正小标宋简体" w:hAnsi="方正小标宋简体" w:eastAsia="方正小标宋简体" w:cs="方正小标宋简体"/>
          <w:sz w:val="36"/>
          <w:szCs w:val="36"/>
        </w:rPr>
      </w:pPr>
      <w:bookmarkStart w:id="0" w:name="_Toc1409586106"/>
      <w:r>
        <w:rPr>
          <w:rFonts w:hint="eastAsia" w:ascii="方正小标宋简体" w:hAnsi="方正小标宋简体" w:eastAsia="方正小标宋简体" w:cs="方正小标宋简体"/>
          <w:sz w:val="36"/>
          <w:szCs w:val="36"/>
          <w:lang w:eastAsia="zh-CN"/>
        </w:rPr>
        <w:t>国有建设用地使用权</w:t>
      </w:r>
      <w:bookmarkStart w:id="1" w:name="_Toc41366853"/>
      <w:bookmarkStart w:id="2" w:name="_Toc41366787"/>
      <w:r>
        <w:rPr>
          <w:rFonts w:hint="eastAsia" w:ascii="方正小标宋简体" w:hAnsi="方正小标宋简体" w:eastAsia="方正小标宋简体" w:cs="方正小标宋简体"/>
          <w:sz w:val="36"/>
          <w:szCs w:val="36"/>
          <w:lang w:eastAsia="zh-CN"/>
        </w:rPr>
        <w:t>挂牌</w:t>
      </w:r>
      <w:bookmarkStart w:id="3" w:name="_Toc11484"/>
      <w:r>
        <w:rPr>
          <w:rFonts w:hint="eastAsia" w:ascii="方正小标宋简体" w:hAnsi="方正小标宋简体" w:eastAsia="方正小标宋简体" w:cs="方正小标宋简体"/>
          <w:sz w:val="36"/>
          <w:szCs w:val="36"/>
          <w:lang w:eastAsia="zh-CN"/>
        </w:rPr>
        <w:t>出让公告</w:t>
      </w:r>
      <w:bookmarkEnd w:id="0"/>
      <w:bookmarkEnd w:id="1"/>
      <w:bookmarkEnd w:id="2"/>
      <w:bookmarkEnd w:id="3"/>
    </w:p>
    <w:p w14:paraId="739B420D">
      <w:pPr>
        <w:spacing w:line="240" w:lineRule="auto"/>
        <w:rPr>
          <w:rFonts w:ascii="Times New Roman" w:hAnsi="Times New Roman" w:cs="Times New Roman"/>
          <w:color w:val="auto"/>
          <w:highlight w:val="none"/>
        </w:rPr>
      </w:pPr>
    </w:p>
    <w:p w14:paraId="43BAAFD9">
      <w:pPr>
        <w:keepNext w:val="0"/>
        <w:keepLines w:val="0"/>
        <w:pageBreakBefore w:val="0"/>
        <w:kinsoku/>
        <w:overflowPunct/>
        <w:topLinePunct w:val="0"/>
        <w:autoSpaceDE/>
        <w:autoSpaceDN/>
        <w:bidi w:val="0"/>
        <w:adjustRightInd/>
        <w:spacing w:line="560" w:lineRule="exact"/>
        <w:ind w:firstLine="560" w:firstLineChars="200"/>
        <w:rPr>
          <w:rFonts w:hint="default" w:ascii="Times New Roman" w:hAnsi="Times New Roman" w:eastAsia="仿宋_GB2312" w:cs="Times New Roman"/>
          <w:color w:val="auto"/>
          <w:sz w:val="28"/>
          <w:highlight w:val="none"/>
          <w:lang w:eastAsia="zh-CN"/>
        </w:rPr>
      </w:pPr>
      <w:r>
        <w:rPr>
          <w:rFonts w:ascii="Times New Roman" w:hAnsi="Times New Roman" w:eastAsia="仿宋_GB2312" w:cs="Times New Roman"/>
          <w:color w:val="auto"/>
          <w:sz w:val="28"/>
          <w:highlight w:val="none"/>
        </w:rPr>
        <w:t>根据国家和北京市的相关规定，</w:t>
      </w:r>
      <w:r>
        <w:rPr>
          <w:rFonts w:hint="eastAsia" w:ascii="Times New Roman" w:hAnsi="Times New Roman" w:eastAsia="仿宋_GB2312" w:cs="Times New Roman"/>
          <w:color w:val="auto"/>
          <w:sz w:val="28"/>
          <w:highlight w:val="none"/>
          <w:lang w:val="en-US" w:eastAsia="zh-CN"/>
        </w:rPr>
        <w:t>北京城市副中心管理委员会</w:t>
      </w:r>
      <w:r>
        <w:rPr>
          <w:rFonts w:ascii="Times New Roman" w:hAnsi="Times New Roman" w:eastAsia="仿宋_GB2312" w:cs="Times New Roman"/>
          <w:color w:val="auto"/>
          <w:sz w:val="28"/>
          <w:highlight w:val="none"/>
        </w:rPr>
        <w:t>决定</w:t>
      </w:r>
      <w:r>
        <w:rPr>
          <w:rFonts w:hint="default" w:ascii="Times New Roman" w:hAnsi="Times New Roman" w:eastAsia="仿宋_GB2312" w:cs="Times New Roman"/>
          <w:color w:val="auto"/>
          <w:sz w:val="28"/>
          <w:highlight w:val="none"/>
          <w:lang w:val="en-US" w:eastAsia="zh-CN"/>
        </w:rPr>
        <w:t>在</w:t>
      </w:r>
      <w:r>
        <w:rPr>
          <w:rFonts w:hint="eastAsia" w:ascii="Times New Roman" w:hAnsi="Times New Roman" w:eastAsia="仿宋_GB2312" w:cs="Times New Roman"/>
          <w:color w:val="auto"/>
          <w:kern w:val="2"/>
          <w:sz w:val="28"/>
          <w:szCs w:val="24"/>
          <w:highlight w:val="none"/>
          <w:lang w:val="en-US" w:eastAsia="zh-CN" w:bidi="ar-SA"/>
        </w:rPr>
        <w:t>北京市土地交易市场</w:t>
      </w:r>
      <w:r>
        <w:rPr>
          <w:rFonts w:ascii="Times New Roman" w:hAnsi="Times New Roman" w:eastAsia="仿宋_GB2312" w:cs="Times New Roman"/>
          <w:color w:val="auto"/>
          <w:sz w:val="28"/>
          <w:highlight w:val="none"/>
        </w:rPr>
        <w:t>公开挂牌出让</w:t>
      </w:r>
      <w:r>
        <w:rPr>
          <w:rFonts w:hint="eastAsia" w:ascii="Times New Roman" w:hAnsi="Times New Roman" w:eastAsia="仿宋_GB2312" w:cs="Times New Roman"/>
          <w:color w:val="auto"/>
          <w:sz w:val="28"/>
          <w:highlight w:val="none"/>
        </w:rPr>
        <w:t>北京市通州区梨园镇强力家居土地一级开发项目FZX-0303-6001地块R2二类居住用地</w:t>
      </w:r>
      <w:r>
        <w:rPr>
          <w:rFonts w:ascii="Times New Roman" w:hAnsi="Times New Roman" w:eastAsia="仿宋_GB2312" w:cs="Times New Roman"/>
          <w:color w:val="auto"/>
          <w:sz w:val="28"/>
          <w:highlight w:val="none"/>
        </w:rPr>
        <w:t>国有建设用地使用权。</w:t>
      </w:r>
      <w:r>
        <w:rPr>
          <w:rFonts w:hint="default" w:ascii="Times New Roman" w:hAnsi="Times New Roman" w:eastAsia="仿宋_GB2312" w:cs="Times New Roman"/>
          <w:color w:val="auto"/>
          <w:sz w:val="28"/>
          <w:highlight w:val="none"/>
        </w:rPr>
        <w:t>北京</w:t>
      </w:r>
      <w:r>
        <w:rPr>
          <w:rFonts w:hint="eastAsia" w:ascii="Times New Roman" w:hAnsi="Times New Roman" w:eastAsia="仿宋_GB2312" w:cs="Times New Roman"/>
          <w:color w:val="auto"/>
          <w:sz w:val="28"/>
          <w:highlight w:val="none"/>
          <w:lang w:val="en-US" w:eastAsia="zh-CN"/>
        </w:rPr>
        <w:t>城市副中心管理委员会</w:t>
      </w:r>
      <w:r>
        <w:rPr>
          <w:rFonts w:hint="default" w:ascii="Times New Roman" w:hAnsi="Times New Roman" w:eastAsia="仿宋_GB2312" w:cs="Times New Roman"/>
          <w:color w:val="auto"/>
          <w:sz w:val="28"/>
          <w:highlight w:val="none"/>
        </w:rPr>
        <w:t>负责本次挂牌出让的组织和实施工作</w:t>
      </w:r>
      <w:r>
        <w:rPr>
          <w:rFonts w:hint="default" w:ascii="Times New Roman" w:hAnsi="Times New Roman" w:eastAsia="仿宋_GB2312" w:cs="Times New Roman"/>
          <w:color w:val="auto"/>
          <w:sz w:val="28"/>
          <w:highlight w:val="none"/>
          <w:lang w:eastAsia="zh-CN"/>
        </w:rPr>
        <w:t>。</w:t>
      </w:r>
    </w:p>
    <w:p w14:paraId="66AD82C9">
      <w:pPr>
        <w:keepNext w:val="0"/>
        <w:keepLines w:val="0"/>
        <w:pageBreakBefore w:val="0"/>
        <w:kinsoku/>
        <w:overflowPunct/>
        <w:topLinePunct w:val="0"/>
        <w:autoSpaceDE/>
        <w:autoSpaceDN/>
        <w:bidi w:val="0"/>
        <w:adjustRightInd/>
        <w:spacing w:line="560" w:lineRule="exact"/>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一</w:t>
      </w:r>
      <w:r>
        <w:rPr>
          <w:rFonts w:ascii="Times New Roman" w:hAnsi="Times New Roman" w:eastAsia="仿宋_GB2312" w:cs="Times New Roman"/>
          <w:color w:val="auto"/>
          <w:sz w:val="28"/>
          <w:highlight w:val="none"/>
        </w:rPr>
        <w:t>、宗地基本情况</w:t>
      </w:r>
    </w:p>
    <w:p w14:paraId="74A6BB32">
      <w:pPr>
        <w:keepNext w:val="0"/>
        <w:keepLines w:val="0"/>
        <w:pageBreakBefore w:val="0"/>
        <w:tabs>
          <w:tab w:val="left" w:pos="1297"/>
        </w:tabs>
        <w:kinsoku/>
        <w:overflowPunct/>
        <w:topLinePunct w:val="0"/>
        <w:autoSpaceDE/>
        <w:autoSpaceDN/>
        <w:bidi w:val="0"/>
        <w:adjustRightInd/>
        <w:spacing w:line="560" w:lineRule="exact"/>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本次挂牌出让宗地</w:t>
      </w:r>
      <w:r>
        <w:rPr>
          <w:rFonts w:hint="default" w:ascii="Times New Roman" w:hAnsi="Times New Roman" w:eastAsia="仿宋_GB2312" w:cs="Times New Roman"/>
          <w:color w:val="auto"/>
          <w:sz w:val="28"/>
          <w:highlight w:val="none"/>
        </w:rPr>
        <w:t>位于</w:t>
      </w:r>
      <w:r>
        <w:rPr>
          <w:rFonts w:hint="eastAsia" w:ascii="Times New Roman" w:hAnsi="Times New Roman" w:eastAsia="仿宋_GB2312" w:cs="Times New Roman"/>
          <w:color w:val="auto"/>
          <w:sz w:val="28"/>
          <w:highlight w:val="none"/>
          <w:lang w:val="en-US" w:eastAsia="zh-CN"/>
        </w:rPr>
        <w:t>通州区梨园镇</w:t>
      </w:r>
      <w:r>
        <w:rPr>
          <w:rFonts w:hint="default" w:ascii="Times New Roman" w:hAnsi="Times New Roman" w:eastAsia="仿宋_GB2312" w:cs="Times New Roman"/>
          <w:color w:val="auto"/>
          <w:sz w:val="28"/>
          <w:highlight w:val="none"/>
        </w:rPr>
        <w:t>。</w:t>
      </w:r>
      <w:r>
        <w:rPr>
          <w:rFonts w:ascii="Times New Roman" w:hAnsi="Times New Roman" w:eastAsia="仿宋_GB2312" w:cs="Times New Roman"/>
          <w:color w:val="auto"/>
          <w:sz w:val="28"/>
          <w:highlight w:val="none"/>
        </w:rPr>
        <w:t>四至范围</w:t>
      </w:r>
      <w:r>
        <w:rPr>
          <w:rFonts w:hint="default" w:ascii="Times New Roman" w:hAnsi="Times New Roman" w:eastAsia="仿宋_GB2312" w:cs="Times New Roman"/>
          <w:color w:val="auto"/>
          <w:sz w:val="28"/>
          <w:highlight w:val="none"/>
        </w:rPr>
        <w:t>详见</w:t>
      </w:r>
      <w:r>
        <w:rPr>
          <w:rFonts w:hint="default" w:ascii="Times New Roman" w:hAnsi="Times New Roman" w:eastAsia="仿宋_GB2312" w:cs="Times New Roman"/>
          <w:color w:val="auto"/>
          <w:sz w:val="28"/>
          <w:highlight w:val="none"/>
          <w:lang w:eastAsia="zh-CN"/>
        </w:rPr>
        <w:t>《“多规合一”协同平台审核意见的函》（京规自（</w:t>
      </w:r>
      <w:r>
        <w:rPr>
          <w:rFonts w:hint="eastAsia" w:ascii="Times New Roman" w:hAnsi="Times New Roman" w:eastAsia="仿宋_GB2312" w:cs="Times New Roman"/>
          <w:color w:val="auto"/>
          <w:sz w:val="28"/>
          <w:highlight w:val="none"/>
          <w:lang w:val="en-US" w:eastAsia="zh-CN"/>
        </w:rPr>
        <w:t>通</w:t>
      </w:r>
      <w:r>
        <w:rPr>
          <w:rFonts w:hint="default" w:ascii="Times New Roman" w:hAnsi="Times New Roman" w:eastAsia="仿宋_GB2312" w:cs="Times New Roman"/>
          <w:color w:val="auto"/>
          <w:sz w:val="28"/>
          <w:highlight w:val="none"/>
          <w:lang w:eastAsia="zh-CN"/>
        </w:rPr>
        <w:t>）供审函</w:t>
      </w:r>
      <w:r>
        <w:rPr>
          <w:rFonts w:hint="default" w:ascii="Times New Roman" w:hAnsi="Times New Roman" w:eastAsia="仿宋_GB2312" w:cs="Times New Roman"/>
          <w:bCs/>
          <w:color w:val="auto"/>
          <w:sz w:val="28"/>
          <w:szCs w:val="24"/>
          <w:highlight w:val="none"/>
          <w:lang w:bidi="en-US"/>
        </w:rPr>
        <w:t>〔202</w:t>
      </w:r>
      <w:r>
        <w:rPr>
          <w:rFonts w:hint="eastAsia" w:ascii="Times New Roman" w:hAnsi="Times New Roman" w:eastAsia="仿宋_GB2312" w:cs="Times New Roman"/>
          <w:bCs/>
          <w:color w:val="auto"/>
          <w:sz w:val="28"/>
          <w:szCs w:val="24"/>
          <w:highlight w:val="none"/>
          <w:lang w:val="en-US" w:eastAsia="zh-CN" w:bidi="en-US"/>
        </w:rPr>
        <w:t>4</w:t>
      </w:r>
      <w:r>
        <w:rPr>
          <w:rFonts w:hint="default" w:ascii="Times New Roman" w:hAnsi="Times New Roman" w:eastAsia="仿宋_GB2312" w:cs="Times New Roman"/>
          <w:bCs/>
          <w:color w:val="auto"/>
          <w:sz w:val="28"/>
          <w:szCs w:val="24"/>
          <w:highlight w:val="none"/>
          <w:lang w:bidi="en-US"/>
        </w:rPr>
        <w:t>〕</w:t>
      </w:r>
      <w:r>
        <w:rPr>
          <w:rFonts w:hint="default" w:ascii="Times New Roman" w:hAnsi="Times New Roman" w:eastAsia="仿宋_GB2312" w:cs="Times New Roman"/>
          <w:color w:val="auto"/>
          <w:sz w:val="28"/>
          <w:highlight w:val="none"/>
          <w:lang w:eastAsia="zh-CN"/>
        </w:rPr>
        <w:t>00</w:t>
      </w:r>
      <w:r>
        <w:rPr>
          <w:rFonts w:hint="default" w:ascii="Times New Roman" w:hAnsi="Times New Roman" w:eastAsia="仿宋_GB2312" w:cs="Times New Roman"/>
          <w:color w:val="auto"/>
          <w:sz w:val="28"/>
          <w:highlight w:val="none"/>
          <w:lang w:val="en-US" w:eastAsia="zh-CN"/>
        </w:rPr>
        <w:t>0</w:t>
      </w:r>
      <w:r>
        <w:rPr>
          <w:rFonts w:hint="eastAsia" w:ascii="Times New Roman" w:hAnsi="Times New Roman" w:eastAsia="仿宋_GB2312" w:cs="Times New Roman"/>
          <w:color w:val="auto"/>
          <w:sz w:val="28"/>
          <w:highlight w:val="none"/>
          <w:lang w:val="en-US" w:eastAsia="zh-CN"/>
        </w:rPr>
        <w:t>1</w:t>
      </w:r>
      <w:r>
        <w:rPr>
          <w:rFonts w:hint="default" w:ascii="Times New Roman" w:hAnsi="Times New Roman" w:eastAsia="仿宋_GB2312" w:cs="Times New Roman"/>
          <w:color w:val="auto"/>
          <w:sz w:val="28"/>
          <w:highlight w:val="none"/>
          <w:lang w:eastAsia="zh-CN"/>
        </w:rPr>
        <w:t>号）</w:t>
      </w:r>
      <w:r>
        <w:rPr>
          <w:rFonts w:hint="default" w:ascii="Times New Roman" w:hAnsi="Times New Roman" w:eastAsia="仿宋_GB2312" w:cs="Times New Roman"/>
          <w:color w:val="auto"/>
          <w:sz w:val="28"/>
          <w:highlight w:val="none"/>
        </w:rPr>
        <w:t>及其附图。</w:t>
      </w:r>
    </w:p>
    <w:p w14:paraId="49FA97B9">
      <w:pPr>
        <w:keepNext w:val="0"/>
        <w:keepLines w:val="0"/>
        <w:pageBreakBefore w:val="0"/>
        <w:tabs>
          <w:tab w:val="left" w:pos="1297"/>
        </w:tabs>
        <w:kinsoku/>
        <w:overflowPunct/>
        <w:topLinePunct w:val="0"/>
        <w:autoSpaceDE/>
        <w:autoSpaceDN/>
        <w:bidi w:val="0"/>
        <w:adjustRightInd/>
        <w:spacing w:line="560" w:lineRule="exact"/>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该宗地将以</w:t>
      </w:r>
      <w:r>
        <w:rPr>
          <w:rFonts w:hint="eastAsia" w:ascii="Times New Roman" w:hAnsi="Times New Roman" w:eastAsia="仿宋_GB2312" w:cs="Times New Roman"/>
          <w:color w:val="auto"/>
          <w:sz w:val="28"/>
          <w:highlight w:val="none"/>
          <w:lang w:eastAsia="zh-CN"/>
        </w:rPr>
        <w:t>临时</w:t>
      </w:r>
      <w:r>
        <w:rPr>
          <w:rFonts w:ascii="Times New Roman" w:hAnsi="Times New Roman" w:eastAsia="仿宋_GB2312" w:cs="Times New Roman"/>
          <w:color w:val="auto"/>
          <w:sz w:val="28"/>
          <w:highlight w:val="none"/>
        </w:rPr>
        <w:t>“</w:t>
      </w: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lang w:eastAsia="zh-CN"/>
        </w:rPr>
        <w:t>通一平</w:t>
      </w:r>
      <w:r>
        <w:rPr>
          <w:rFonts w:ascii="Times New Roman" w:hAnsi="Times New Roman" w:eastAsia="仿宋_GB2312" w:cs="Times New Roman"/>
          <w:color w:val="auto"/>
          <w:sz w:val="28"/>
          <w:highlight w:val="none"/>
        </w:rPr>
        <w:t>”形式供地。规划经济技术指标如下表：</w:t>
      </w:r>
    </w:p>
    <w:tbl>
      <w:tblPr>
        <w:tblStyle w:val="7"/>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148"/>
        <w:gridCol w:w="1934"/>
        <w:gridCol w:w="1560"/>
        <w:gridCol w:w="1798"/>
      </w:tblGrid>
      <w:tr w14:paraId="1F27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693" w:type="dxa"/>
            <w:noWrap w:val="0"/>
            <w:vAlign w:val="center"/>
          </w:tcPr>
          <w:p w14:paraId="0B635277">
            <w:pPr>
              <w:pStyle w:val="6"/>
              <w:keepNext w:val="0"/>
              <w:keepLines w:val="0"/>
              <w:pageBreakBefore w:val="0"/>
              <w:kinsoku/>
              <w:overflowPunct/>
              <w:topLinePunct w:val="0"/>
              <w:autoSpaceDE/>
              <w:autoSpaceDN/>
              <w:bidi w:val="0"/>
              <w:adjustRightInd/>
              <w:spacing w:line="240" w:lineRule="auto"/>
              <w:ind w:firstLine="0" w:firstLineChars="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pacing w:val="-4"/>
                <w:sz w:val="24"/>
                <w:highlight w:val="none"/>
              </w:rPr>
              <w:t>挂牌编号</w:t>
            </w:r>
          </w:p>
        </w:tc>
        <w:tc>
          <w:tcPr>
            <w:tcW w:w="1148" w:type="dxa"/>
            <w:noWrap w:val="0"/>
            <w:vAlign w:val="center"/>
          </w:tcPr>
          <w:p w14:paraId="11B96AC1">
            <w:pPr>
              <w:pStyle w:val="6"/>
              <w:keepNext w:val="0"/>
              <w:keepLines w:val="0"/>
              <w:pageBreakBefore w:val="0"/>
              <w:kinsoku/>
              <w:overflowPunct/>
              <w:topLinePunct w:val="0"/>
              <w:autoSpaceDE/>
              <w:autoSpaceDN/>
              <w:bidi w:val="0"/>
              <w:adjustRightInd/>
              <w:spacing w:line="240" w:lineRule="auto"/>
              <w:ind w:firstLine="0" w:firstLineChars="0"/>
              <w:jc w:val="center"/>
              <w:rPr>
                <w:rFonts w:ascii="Times New Roman" w:hAnsi="Times New Roman" w:eastAsia="仿宋_GB2312" w:cs="Times New Roman"/>
                <w:color w:val="auto"/>
                <w:spacing w:val="0"/>
                <w:sz w:val="24"/>
                <w:highlight w:val="none"/>
              </w:rPr>
            </w:pPr>
            <w:r>
              <w:rPr>
                <w:rFonts w:ascii="Times New Roman" w:hAnsi="Times New Roman" w:eastAsia="仿宋_GB2312" w:cs="Times New Roman"/>
                <w:color w:val="auto"/>
                <w:spacing w:val="0"/>
                <w:sz w:val="24"/>
                <w:highlight w:val="none"/>
              </w:rPr>
              <w:t>用地性质</w:t>
            </w:r>
          </w:p>
        </w:tc>
        <w:tc>
          <w:tcPr>
            <w:tcW w:w="1934" w:type="dxa"/>
            <w:noWrap w:val="0"/>
            <w:vAlign w:val="center"/>
          </w:tcPr>
          <w:p w14:paraId="7649FB30">
            <w:pPr>
              <w:pStyle w:val="6"/>
              <w:keepNext w:val="0"/>
              <w:keepLines w:val="0"/>
              <w:pageBreakBefore w:val="0"/>
              <w:kinsoku/>
              <w:overflowPunct/>
              <w:topLinePunct w:val="0"/>
              <w:autoSpaceDE/>
              <w:autoSpaceDN/>
              <w:bidi w:val="0"/>
              <w:adjustRightInd/>
              <w:spacing w:line="240" w:lineRule="auto"/>
              <w:ind w:firstLine="0" w:firstLineChars="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pacing w:val="-4"/>
                <w:sz w:val="24"/>
                <w:highlight w:val="none"/>
              </w:rPr>
              <w:t>出让年限</w:t>
            </w:r>
          </w:p>
        </w:tc>
        <w:tc>
          <w:tcPr>
            <w:tcW w:w="1560" w:type="dxa"/>
            <w:noWrap w:val="0"/>
            <w:vAlign w:val="center"/>
          </w:tcPr>
          <w:p w14:paraId="51D3BFB3">
            <w:pPr>
              <w:pStyle w:val="6"/>
              <w:keepNext w:val="0"/>
              <w:keepLines w:val="0"/>
              <w:pageBreakBefore w:val="0"/>
              <w:kinsoku/>
              <w:overflowPunct/>
              <w:topLinePunct w:val="0"/>
              <w:autoSpaceDE/>
              <w:autoSpaceDN/>
              <w:bidi w:val="0"/>
              <w:adjustRightInd/>
              <w:spacing w:line="240" w:lineRule="auto"/>
              <w:ind w:firstLine="0" w:firstLineChars="0"/>
              <w:jc w:val="center"/>
              <w:rPr>
                <w:rFonts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eastAsia="zh-CN"/>
              </w:rPr>
              <w:t>用地规模</w:t>
            </w:r>
          </w:p>
          <w:p w14:paraId="1DD73251">
            <w:pPr>
              <w:pStyle w:val="6"/>
              <w:keepNext w:val="0"/>
              <w:keepLines w:val="0"/>
              <w:pageBreakBefore w:val="0"/>
              <w:kinsoku/>
              <w:overflowPunct/>
              <w:topLinePunct w:val="0"/>
              <w:autoSpaceDE/>
              <w:autoSpaceDN/>
              <w:bidi w:val="0"/>
              <w:adjustRightInd/>
              <w:spacing w:line="240" w:lineRule="auto"/>
              <w:ind w:firstLine="0" w:firstLineChars="0"/>
              <w:jc w:val="center"/>
              <w:rPr>
                <w:rFonts w:ascii="Times New Roman" w:hAnsi="Times New Roman" w:eastAsia="仿宋_GB2312" w:cs="Times New Roman"/>
                <w:color w:val="auto"/>
                <w:sz w:val="24"/>
                <w:highlight w:val="none"/>
              </w:rPr>
            </w:pPr>
            <w:r>
              <w:rPr>
                <w:rFonts w:ascii="Times New Roman" w:hAnsi="Times New Roman" w:eastAsia="仿宋_GB2312" w:cs="Times New Roman"/>
                <w:color w:val="auto"/>
                <w:spacing w:val="-4"/>
                <w:sz w:val="24"/>
                <w:highlight w:val="none"/>
              </w:rPr>
              <w:t>（平方米）</w:t>
            </w:r>
          </w:p>
        </w:tc>
        <w:tc>
          <w:tcPr>
            <w:tcW w:w="1798" w:type="dxa"/>
            <w:noWrap w:val="0"/>
            <w:vAlign w:val="center"/>
          </w:tcPr>
          <w:p w14:paraId="1AAC3DA4">
            <w:pPr>
              <w:pStyle w:val="6"/>
              <w:keepNext w:val="0"/>
              <w:keepLines w:val="0"/>
              <w:pageBreakBefore w:val="0"/>
              <w:kinsoku/>
              <w:overflowPunct/>
              <w:topLinePunct w:val="0"/>
              <w:autoSpaceDE/>
              <w:autoSpaceDN/>
              <w:bidi w:val="0"/>
              <w:adjustRightInd/>
              <w:spacing w:line="240" w:lineRule="auto"/>
              <w:ind w:firstLine="0" w:firstLineChars="0"/>
              <w:jc w:val="center"/>
              <w:rPr>
                <w:rFonts w:ascii="Times New Roman" w:hAnsi="Times New Roman" w:eastAsia="仿宋_GB2312" w:cs="Times New Roman"/>
                <w:color w:val="auto"/>
                <w:spacing w:val="-4"/>
                <w:sz w:val="24"/>
                <w:highlight w:val="none"/>
              </w:rPr>
            </w:pPr>
            <w:r>
              <w:rPr>
                <w:rFonts w:hint="default" w:ascii="Times New Roman" w:hAnsi="Times New Roman" w:eastAsia="仿宋_GB2312" w:cs="Times New Roman"/>
                <w:color w:val="auto"/>
                <w:spacing w:val="-4"/>
                <w:sz w:val="24"/>
                <w:highlight w:val="none"/>
                <w:lang w:val="en-US" w:eastAsia="zh-CN"/>
              </w:rPr>
              <w:t>地上建筑</w:t>
            </w:r>
            <w:r>
              <w:rPr>
                <w:rFonts w:ascii="Times New Roman" w:hAnsi="Times New Roman" w:eastAsia="仿宋_GB2312" w:cs="Times New Roman"/>
                <w:color w:val="auto"/>
                <w:spacing w:val="-4"/>
                <w:sz w:val="24"/>
                <w:highlight w:val="none"/>
              </w:rPr>
              <w:t>规模</w:t>
            </w:r>
          </w:p>
          <w:p w14:paraId="3D848050">
            <w:pPr>
              <w:pStyle w:val="6"/>
              <w:keepNext w:val="0"/>
              <w:keepLines w:val="0"/>
              <w:pageBreakBefore w:val="0"/>
              <w:kinsoku/>
              <w:overflowPunct/>
              <w:topLinePunct w:val="0"/>
              <w:autoSpaceDE/>
              <w:autoSpaceDN/>
              <w:bidi w:val="0"/>
              <w:adjustRightInd/>
              <w:spacing w:line="240" w:lineRule="auto"/>
              <w:ind w:firstLine="0" w:firstLineChars="0"/>
              <w:jc w:val="center"/>
              <w:rPr>
                <w:rFonts w:hint="eastAsia" w:ascii="Times New Roman" w:hAnsi="Times New Roman" w:eastAsia="仿宋_GB2312" w:cs="Times New Roman"/>
                <w:color w:val="auto"/>
                <w:sz w:val="24"/>
                <w:highlight w:val="none"/>
              </w:rPr>
            </w:pPr>
            <w:r>
              <w:rPr>
                <w:rFonts w:hint="eastAsia" w:ascii="Times New Roman" w:hAnsi="Times New Roman" w:eastAsia="仿宋_GB2312" w:cs="Times New Roman"/>
                <w:color w:val="auto"/>
                <w:spacing w:val="-4"/>
                <w:sz w:val="24"/>
                <w:highlight w:val="none"/>
                <w:lang w:eastAsia="zh-CN"/>
              </w:rPr>
              <w:t>（</w:t>
            </w:r>
            <w:r>
              <w:rPr>
                <w:rFonts w:ascii="Times New Roman" w:hAnsi="Times New Roman" w:eastAsia="仿宋_GB2312" w:cs="Times New Roman"/>
                <w:color w:val="auto"/>
                <w:spacing w:val="-4"/>
                <w:sz w:val="24"/>
                <w:highlight w:val="none"/>
              </w:rPr>
              <w:t>平方米</w:t>
            </w:r>
            <w:r>
              <w:rPr>
                <w:rFonts w:hint="eastAsia" w:ascii="Times New Roman" w:hAnsi="Times New Roman" w:eastAsia="仿宋_GB2312" w:cs="Times New Roman"/>
                <w:color w:val="auto"/>
                <w:spacing w:val="-4"/>
                <w:sz w:val="24"/>
                <w:highlight w:val="none"/>
                <w:lang w:eastAsia="zh-CN"/>
              </w:rPr>
              <w:t>）</w:t>
            </w:r>
          </w:p>
        </w:tc>
      </w:tr>
      <w:tr w14:paraId="32DC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1693" w:type="dxa"/>
            <w:noWrap w:val="0"/>
            <w:vAlign w:val="center"/>
          </w:tcPr>
          <w:p w14:paraId="4DE1585B">
            <w:pPr>
              <w:pStyle w:val="5"/>
              <w:keepNext w:val="0"/>
              <w:keepLines w:val="0"/>
              <w:pageBreakBefore w:val="0"/>
              <w:kinsoku/>
              <w:overflowPunct/>
              <w:topLinePunct w:val="0"/>
              <w:autoSpaceDE/>
              <w:autoSpaceDN/>
              <w:bidi w:val="0"/>
              <w:adjustRightInd/>
              <w:spacing w:line="240" w:lineRule="auto"/>
              <w:ind w:left="-20" w:leftChars="-10" w:hanging="1"/>
              <w:jc w:val="center"/>
              <w:rPr>
                <w:rFonts w:ascii="Times New Roman" w:hAnsi="Times New Roman" w:eastAsia="仿宋_GB2312" w:cs="Times New Roman"/>
                <w:color w:val="auto"/>
                <w:spacing w:val="-4"/>
                <w:sz w:val="24"/>
                <w:szCs w:val="24"/>
                <w:highlight w:val="none"/>
              </w:rPr>
            </w:pPr>
            <w:r>
              <w:rPr>
                <w:rFonts w:ascii="Times New Roman" w:hAnsi="Times New Roman" w:eastAsia="仿宋_GB2312" w:cs="Times New Roman"/>
                <w:color w:val="auto"/>
                <w:spacing w:val="-4"/>
                <w:sz w:val="24"/>
                <w:szCs w:val="24"/>
                <w:highlight w:val="none"/>
              </w:rPr>
              <w:t>京土储挂</w:t>
            </w:r>
            <w:r>
              <w:rPr>
                <w:rFonts w:hint="default" w:ascii="Times New Roman" w:hAnsi="Times New Roman" w:eastAsia="仿宋_GB2312" w:cs="Times New Roman"/>
                <w:color w:val="auto"/>
                <w:spacing w:val="-4"/>
                <w:sz w:val="24"/>
                <w:szCs w:val="24"/>
                <w:highlight w:val="none"/>
                <w:lang w:eastAsia="zh-CN"/>
              </w:rPr>
              <w:t>（</w:t>
            </w:r>
            <w:r>
              <w:rPr>
                <w:rFonts w:hint="eastAsia" w:ascii="Times New Roman" w:hAnsi="Times New Roman" w:eastAsia="仿宋_GB2312" w:cs="Times New Roman"/>
                <w:color w:val="auto"/>
                <w:spacing w:val="-4"/>
                <w:sz w:val="24"/>
                <w:szCs w:val="24"/>
                <w:highlight w:val="none"/>
                <w:lang w:eastAsia="zh-CN"/>
              </w:rPr>
              <w:t>通</w:t>
            </w:r>
            <w:r>
              <w:rPr>
                <w:rFonts w:hint="default" w:ascii="Times New Roman" w:hAnsi="Times New Roman" w:eastAsia="仿宋_GB2312" w:cs="Times New Roman"/>
                <w:color w:val="auto"/>
                <w:spacing w:val="-4"/>
                <w:sz w:val="24"/>
                <w:szCs w:val="24"/>
                <w:highlight w:val="none"/>
                <w:lang w:eastAsia="zh-CN"/>
              </w:rPr>
              <w:t>）</w:t>
            </w:r>
            <w:r>
              <w:rPr>
                <w:rFonts w:ascii="Times New Roman" w:hAnsi="Times New Roman" w:eastAsia="仿宋_GB2312" w:cs="Times New Roman"/>
                <w:color w:val="auto"/>
                <w:spacing w:val="-4"/>
                <w:sz w:val="24"/>
                <w:szCs w:val="24"/>
                <w:highlight w:val="none"/>
              </w:rPr>
              <w:t>[202</w:t>
            </w:r>
            <w:r>
              <w:rPr>
                <w:rFonts w:hint="default" w:ascii="Times New Roman" w:hAnsi="Times New Roman" w:eastAsia="仿宋_GB2312" w:cs="Times New Roman"/>
                <w:color w:val="auto"/>
                <w:spacing w:val="-4"/>
                <w:sz w:val="24"/>
                <w:szCs w:val="24"/>
                <w:highlight w:val="none"/>
                <w:lang w:val="en-US"/>
              </w:rPr>
              <w:t>4</w:t>
            </w:r>
            <w:r>
              <w:rPr>
                <w:rFonts w:ascii="Times New Roman" w:hAnsi="Times New Roman" w:eastAsia="仿宋_GB2312" w:cs="Times New Roman"/>
                <w:color w:val="auto"/>
                <w:spacing w:val="-4"/>
                <w:sz w:val="24"/>
                <w:szCs w:val="24"/>
                <w:highlight w:val="none"/>
              </w:rPr>
              <w:t>]</w:t>
            </w:r>
            <w:r>
              <w:rPr>
                <w:rFonts w:hint="eastAsia" w:ascii="Times New Roman" w:hAnsi="Times New Roman" w:eastAsia="仿宋_GB2312" w:cs="Times New Roman"/>
                <w:color w:val="auto"/>
                <w:spacing w:val="-4"/>
                <w:sz w:val="24"/>
                <w:szCs w:val="24"/>
                <w:highlight w:val="none"/>
                <w:lang w:val="en-US" w:eastAsia="zh-CN"/>
              </w:rPr>
              <w:t>040</w:t>
            </w:r>
            <w:r>
              <w:rPr>
                <w:rFonts w:ascii="Times New Roman" w:hAnsi="Times New Roman" w:eastAsia="仿宋_GB2312" w:cs="Times New Roman"/>
                <w:color w:val="auto"/>
                <w:spacing w:val="-4"/>
                <w:sz w:val="24"/>
                <w:szCs w:val="24"/>
                <w:highlight w:val="none"/>
              </w:rPr>
              <w:t>号</w:t>
            </w:r>
          </w:p>
        </w:tc>
        <w:tc>
          <w:tcPr>
            <w:tcW w:w="1148" w:type="dxa"/>
            <w:noWrap w:val="0"/>
            <w:vAlign w:val="center"/>
          </w:tcPr>
          <w:p w14:paraId="3D02F6D0">
            <w:pPr>
              <w:pStyle w:val="5"/>
              <w:keepNext w:val="0"/>
              <w:keepLines w:val="0"/>
              <w:pageBreakBefore w:val="0"/>
              <w:kinsoku/>
              <w:overflowPunct/>
              <w:topLinePunct w:val="0"/>
              <w:autoSpaceDE/>
              <w:autoSpaceDN/>
              <w:bidi w:val="0"/>
              <w:adjustRightInd/>
              <w:spacing w:line="240" w:lineRule="auto"/>
              <w:ind w:left="-20" w:leftChars="-10" w:hanging="1"/>
              <w:jc w:val="center"/>
              <w:rPr>
                <w:rFonts w:hint="default" w:ascii="Times New Roman" w:hAnsi="Times New Roman" w:eastAsia="仿宋_GB2312" w:cs="Times New Roman"/>
                <w:color w:val="auto"/>
                <w:spacing w:val="-4"/>
                <w:sz w:val="24"/>
                <w:szCs w:val="24"/>
                <w:highlight w:val="none"/>
                <w:lang w:eastAsia="zh-CN"/>
              </w:rPr>
            </w:pPr>
            <w:r>
              <w:rPr>
                <w:rFonts w:hint="default" w:ascii="Times New Roman" w:hAnsi="Times New Roman" w:eastAsia="仿宋_GB2312" w:cs="Times New Roman"/>
                <w:color w:val="auto"/>
                <w:spacing w:val="-4"/>
                <w:sz w:val="24"/>
                <w:szCs w:val="24"/>
                <w:highlight w:val="none"/>
                <w:lang w:eastAsia="zh-CN"/>
              </w:rPr>
              <w:t>R2二类</w:t>
            </w:r>
          </w:p>
          <w:p w14:paraId="40A0792C">
            <w:pPr>
              <w:pStyle w:val="5"/>
              <w:keepNext w:val="0"/>
              <w:keepLines w:val="0"/>
              <w:pageBreakBefore w:val="0"/>
              <w:kinsoku/>
              <w:overflowPunct/>
              <w:topLinePunct w:val="0"/>
              <w:autoSpaceDE/>
              <w:autoSpaceDN/>
              <w:bidi w:val="0"/>
              <w:adjustRightInd/>
              <w:spacing w:line="240" w:lineRule="auto"/>
              <w:ind w:left="-20" w:leftChars="-10" w:hanging="1"/>
              <w:jc w:val="center"/>
              <w:rPr>
                <w:rFonts w:eastAsia="宋体" w:cs="Times New Roman"/>
                <w:sz w:val="21"/>
              </w:rPr>
            </w:pPr>
            <w:r>
              <w:rPr>
                <w:rFonts w:hint="default" w:ascii="Times New Roman" w:hAnsi="Times New Roman" w:eastAsia="仿宋_GB2312" w:cs="Times New Roman"/>
                <w:color w:val="auto"/>
                <w:spacing w:val="-4"/>
                <w:sz w:val="24"/>
                <w:szCs w:val="24"/>
                <w:highlight w:val="none"/>
                <w:lang w:eastAsia="zh-CN"/>
              </w:rPr>
              <w:t>居住用地</w:t>
            </w:r>
          </w:p>
        </w:tc>
        <w:tc>
          <w:tcPr>
            <w:tcW w:w="1934" w:type="dxa"/>
            <w:noWrap w:val="0"/>
            <w:vAlign w:val="center"/>
          </w:tcPr>
          <w:p w14:paraId="59860E3B">
            <w:pPr>
              <w:pStyle w:val="6"/>
              <w:keepNext w:val="0"/>
              <w:keepLines w:val="0"/>
              <w:pageBreakBefore w:val="0"/>
              <w:kinsoku/>
              <w:overflowPunct/>
              <w:topLinePunct w:val="0"/>
              <w:autoSpaceDE/>
              <w:autoSpaceDN/>
              <w:bidi w:val="0"/>
              <w:adjustRightInd/>
              <w:spacing w:line="240" w:lineRule="auto"/>
              <w:ind w:firstLine="0" w:firstLineChars="0"/>
              <w:jc w:val="center"/>
              <w:rPr>
                <w:rFonts w:ascii="Times New Roman" w:hAnsi="Times New Roman" w:eastAsia="仿宋_GB2312" w:cs="Times New Roman"/>
                <w:color w:val="auto"/>
                <w:spacing w:val="-4"/>
                <w:sz w:val="24"/>
                <w:szCs w:val="24"/>
                <w:highlight w:val="none"/>
              </w:rPr>
            </w:pPr>
            <w:r>
              <w:rPr>
                <w:rFonts w:ascii="Times New Roman" w:hAnsi="Times New Roman" w:eastAsia="仿宋_GB2312" w:cs="Times New Roman"/>
                <w:color w:val="auto"/>
                <w:spacing w:val="-4"/>
                <w:sz w:val="24"/>
                <w:szCs w:val="24"/>
                <w:highlight w:val="none"/>
              </w:rPr>
              <w:t>居住70年</w:t>
            </w:r>
          </w:p>
          <w:p w14:paraId="11783AB2">
            <w:pPr>
              <w:pStyle w:val="6"/>
              <w:keepNext w:val="0"/>
              <w:keepLines w:val="0"/>
              <w:pageBreakBefore w:val="0"/>
              <w:kinsoku/>
              <w:overflowPunct/>
              <w:topLinePunct w:val="0"/>
              <w:autoSpaceDE/>
              <w:autoSpaceDN/>
              <w:bidi w:val="0"/>
              <w:adjustRightInd/>
              <w:spacing w:line="240" w:lineRule="auto"/>
              <w:ind w:firstLine="0" w:firstLineChars="0"/>
              <w:jc w:val="center"/>
              <w:rPr>
                <w:rFonts w:ascii="Times New Roman" w:hAnsi="Times New Roman" w:eastAsia="仿宋_GB2312" w:cs="Times New Roman"/>
                <w:color w:val="auto"/>
                <w:spacing w:val="-4"/>
                <w:sz w:val="24"/>
                <w:szCs w:val="24"/>
                <w:highlight w:val="none"/>
              </w:rPr>
            </w:pPr>
            <w:r>
              <w:rPr>
                <w:rFonts w:ascii="Times New Roman" w:hAnsi="Times New Roman" w:eastAsia="仿宋_GB2312" w:cs="Times New Roman"/>
                <w:color w:val="auto"/>
                <w:spacing w:val="-4"/>
                <w:sz w:val="24"/>
                <w:szCs w:val="24"/>
                <w:highlight w:val="none"/>
              </w:rPr>
              <w:t>商业40年</w:t>
            </w:r>
          </w:p>
          <w:p w14:paraId="4748A41A">
            <w:pPr>
              <w:pStyle w:val="6"/>
              <w:keepNext w:val="0"/>
              <w:keepLines w:val="0"/>
              <w:pageBreakBefore w:val="0"/>
              <w:kinsoku/>
              <w:overflowPunct/>
              <w:topLinePunct w:val="0"/>
              <w:autoSpaceDE/>
              <w:autoSpaceDN/>
              <w:bidi w:val="0"/>
              <w:adjustRightInd/>
              <w:spacing w:line="240" w:lineRule="auto"/>
              <w:ind w:firstLine="0" w:firstLineChars="0"/>
              <w:jc w:val="center"/>
              <w:rPr>
                <w:rFonts w:hint="eastAsia" w:ascii="Times New Roman" w:hAnsi="Times New Roman" w:eastAsia="仿宋_GB2312" w:cs="Times New Roman"/>
                <w:color w:val="auto"/>
                <w:spacing w:val="-4"/>
                <w:sz w:val="24"/>
                <w:szCs w:val="24"/>
                <w:highlight w:val="none"/>
                <w:lang w:val="en-US" w:eastAsia="zh-CN"/>
              </w:rPr>
            </w:pPr>
            <w:r>
              <w:rPr>
                <w:rFonts w:hint="eastAsia" w:ascii="Times New Roman" w:hAnsi="Times New Roman" w:eastAsia="仿宋_GB2312" w:cs="Times New Roman"/>
                <w:color w:val="auto"/>
                <w:spacing w:val="-4"/>
                <w:sz w:val="24"/>
                <w:szCs w:val="24"/>
                <w:highlight w:val="none"/>
                <w:lang w:val="en-US" w:eastAsia="zh-CN"/>
              </w:rPr>
              <w:t>办公50年</w:t>
            </w:r>
          </w:p>
        </w:tc>
        <w:tc>
          <w:tcPr>
            <w:tcW w:w="1560" w:type="dxa"/>
            <w:noWrap w:val="0"/>
            <w:vAlign w:val="center"/>
          </w:tcPr>
          <w:p w14:paraId="0AAA904B">
            <w:pPr>
              <w:keepNext w:val="0"/>
              <w:keepLines w:val="0"/>
              <w:pageBreakBefore w:val="0"/>
              <w:kinsoku/>
              <w:overflowPunct/>
              <w:topLinePunct w:val="0"/>
              <w:autoSpaceDE/>
              <w:autoSpaceDN/>
              <w:bidi w:val="0"/>
              <w:adjustRightInd/>
              <w:spacing w:line="240" w:lineRule="auto"/>
              <w:jc w:val="center"/>
              <w:rPr>
                <w:rFonts w:ascii="Times New Roman" w:hAnsi="Times New Roman" w:eastAsia="仿宋_GB2312" w:cs="Times New Roman"/>
                <w:color w:val="auto"/>
                <w:sz w:val="24"/>
                <w:highlight w:val="none"/>
                <w:lang w:val="en-US"/>
              </w:rPr>
            </w:pPr>
            <w:r>
              <w:rPr>
                <w:rFonts w:hint="eastAsia" w:eastAsia="仿宋_GB2312" w:cs="Times New Roman"/>
                <w:color w:val="auto"/>
                <w:sz w:val="24"/>
                <w:lang w:val="en-US" w:eastAsia="zh-CN"/>
              </w:rPr>
              <w:t>15992.794</w:t>
            </w:r>
          </w:p>
        </w:tc>
        <w:tc>
          <w:tcPr>
            <w:tcW w:w="1798" w:type="dxa"/>
            <w:noWrap w:val="0"/>
            <w:vAlign w:val="center"/>
          </w:tcPr>
          <w:p w14:paraId="65D2C990">
            <w:pPr>
              <w:keepNext w:val="0"/>
              <w:keepLines w:val="0"/>
              <w:pageBreakBefore w:val="0"/>
              <w:widowControl/>
              <w:kinsoku/>
              <w:overflowPunct/>
              <w:topLinePunct w:val="0"/>
              <w:autoSpaceDE/>
              <w:autoSpaceDN/>
              <w:bidi w:val="0"/>
              <w:adjustRightInd/>
              <w:spacing w:line="240" w:lineRule="auto"/>
              <w:jc w:val="center"/>
              <w:textAlignment w:val="center"/>
              <w:rPr>
                <w:rFonts w:hint="default" w:ascii="Times New Roman" w:hAnsi="Times New Roman" w:eastAsia="仿宋_GB2312" w:cs="Times New Roman"/>
                <w:color w:val="auto"/>
                <w:sz w:val="24"/>
                <w:highlight w:val="none"/>
                <w:lang w:val="en-US" w:eastAsia="zh-CN"/>
              </w:rPr>
            </w:pPr>
            <w:r>
              <w:rPr>
                <w:rFonts w:hint="eastAsia" w:eastAsia="仿宋_GB2312" w:cs="Times New Roman"/>
                <w:color w:val="auto"/>
                <w:sz w:val="24"/>
                <w:lang w:val="en-US" w:eastAsia="zh-CN"/>
              </w:rPr>
              <w:t>34704.36</w:t>
            </w:r>
          </w:p>
        </w:tc>
      </w:tr>
    </w:tbl>
    <w:p w14:paraId="4BE1EA78">
      <w:pPr>
        <w:keepNext w:val="0"/>
        <w:keepLines w:val="0"/>
        <w:pageBreakBefore w:val="0"/>
        <w:kinsoku/>
        <w:overflowPunct/>
        <w:topLinePunct w:val="0"/>
        <w:autoSpaceDE/>
        <w:autoSpaceDN/>
        <w:bidi w:val="0"/>
        <w:adjustRightInd/>
        <w:spacing w:beforeLines="0" w:afterLines="0" w:line="560" w:lineRule="exact"/>
        <w:ind w:firstLine="560" w:firstLineChars="200"/>
        <w:rPr>
          <w:rFonts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二、挂牌出让起始价为人民币</w:t>
      </w:r>
      <w:r>
        <w:rPr>
          <w:rFonts w:hint="eastAsia" w:ascii="Times New Roman" w:hAnsi="Times New Roman" w:eastAsia="仿宋_GB2312" w:cs="Times New Roman"/>
          <w:color w:val="auto"/>
          <w:sz w:val="28"/>
          <w:highlight w:val="none"/>
          <w:lang w:val="en-US" w:eastAsia="zh-CN"/>
        </w:rPr>
        <w:t>99200</w:t>
      </w:r>
      <w:r>
        <w:rPr>
          <w:rFonts w:hint="default" w:ascii="Times New Roman" w:hAnsi="Times New Roman" w:eastAsia="仿宋_GB2312" w:cs="Times New Roman"/>
          <w:color w:val="auto"/>
          <w:sz w:val="28"/>
          <w:highlight w:val="none"/>
          <w:lang w:eastAsia="zh-CN"/>
        </w:rPr>
        <w:t>万元</w:t>
      </w:r>
      <w:r>
        <w:rPr>
          <w:rFonts w:ascii="Times New Roman" w:hAnsi="Times New Roman" w:eastAsia="仿宋_GB2312" w:cs="Times New Roman"/>
          <w:color w:val="auto"/>
          <w:sz w:val="28"/>
          <w:highlight w:val="none"/>
        </w:rPr>
        <w:t>，竞价阶梯为人民币</w:t>
      </w:r>
      <w:r>
        <w:rPr>
          <w:rFonts w:hint="eastAsia" w:ascii="Times New Roman" w:hAnsi="Times New Roman" w:eastAsia="仿宋_GB2312" w:cs="Times New Roman"/>
          <w:color w:val="auto"/>
          <w:sz w:val="28"/>
          <w:highlight w:val="none"/>
          <w:lang w:val="en-US" w:eastAsia="zh-CN"/>
        </w:rPr>
        <w:t>100</w:t>
      </w:r>
      <w:r>
        <w:rPr>
          <w:rFonts w:hint="default" w:ascii="Times New Roman" w:hAnsi="Times New Roman" w:eastAsia="仿宋_GB2312" w:cs="Times New Roman"/>
          <w:color w:val="auto"/>
          <w:sz w:val="28"/>
          <w:highlight w:val="none"/>
          <w:lang w:eastAsia="zh-CN"/>
        </w:rPr>
        <w:t>万元</w:t>
      </w:r>
      <w:r>
        <w:rPr>
          <w:rFonts w:ascii="Times New Roman" w:hAnsi="Times New Roman" w:eastAsia="仿宋_GB2312" w:cs="Times New Roman"/>
          <w:color w:val="auto"/>
          <w:sz w:val="28"/>
          <w:highlight w:val="none"/>
        </w:rPr>
        <w:t>整，竞买保证金为人民币</w:t>
      </w:r>
      <w:r>
        <w:rPr>
          <w:rFonts w:hint="eastAsia" w:ascii="Times New Roman" w:hAnsi="Times New Roman" w:eastAsia="仿宋_GB2312" w:cs="Times New Roman"/>
          <w:color w:val="auto"/>
          <w:sz w:val="28"/>
          <w:highlight w:val="none"/>
          <w:lang w:val="en-US" w:eastAsia="zh-CN"/>
        </w:rPr>
        <w:t>20000</w:t>
      </w:r>
      <w:r>
        <w:rPr>
          <w:rFonts w:hint="default" w:ascii="Times New Roman" w:hAnsi="Times New Roman" w:eastAsia="仿宋_GB2312" w:cs="Times New Roman"/>
          <w:color w:val="auto"/>
          <w:sz w:val="28"/>
          <w:highlight w:val="none"/>
          <w:lang w:eastAsia="zh-CN"/>
        </w:rPr>
        <w:t>万元</w:t>
      </w:r>
      <w:r>
        <w:rPr>
          <w:rFonts w:ascii="Times New Roman" w:hAnsi="Times New Roman" w:eastAsia="仿宋_GB2312" w:cs="Times New Roman"/>
          <w:color w:val="auto"/>
          <w:sz w:val="28"/>
          <w:highlight w:val="none"/>
        </w:rPr>
        <w:t>。</w:t>
      </w:r>
    </w:p>
    <w:p w14:paraId="76A4E356">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highlight w:val="none"/>
        </w:rPr>
        <w:t>三</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参加竞买的企业须具有房地产开发资质，可以独立竞买也可以联合竞买，联合竞买的联合体各方须同时具有房地产开发资质。</w:t>
      </w:r>
      <w:r>
        <w:rPr>
          <w:rFonts w:hint="default" w:ascii="Times New Roman" w:hAnsi="Times New Roman" w:eastAsia="仿宋_GB2312" w:cs="Times New Roman"/>
          <w:b w:val="0"/>
          <w:bCs w:val="0"/>
          <w:color w:val="auto"/>
          <w:sz w:val="28"/>
          <w:szCs w:val="28"/>
          <w:lang w:val="en-US" w:eastAsia="zh-CN"/>
        </w:rPr>
        <w:t>同一企业及其控股的各个公司不得参加同一宗地的竞买</w:t>
      </w:r>
      <w:r>
        <w:rPr>
          <w:rFonts w:hint="default" w:ascii="Times New Roman" w:hAnsi="Times New Roman" w:eastAsia="仿宋_GB2312" w:cs="Times New Roman"/>
          <w:color w:val="auto"/>
          <w:sz w:val="28"/>
          <w:szCs w:val="28"/>
          <w:highlight w:val="none"/>
          <w:lang w:eastAsia="zh-CN"/>
        </w:rPr>
        <w:t>。</w:t>
      </w:r>
    </w:p>
    <w:p w14:paraId="45FE5219">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lang w:eastAsia="zh-CN"/>
        </w:rPr>
        <w:t>宗地进入现场摇号环节后，同一集团成员企业仅可有一家参与该宗地的摇号，对于多家成员企业同时报名参与摇号的，以企业缴纳保证金（预申请保证金、竞买保证金）到账时间的先后顺序确定摇号资格。联合竞买的，同一集团成员企业仅可组成一个联合体参与同一宗地摇号。同一集团成员企业包括但不限于：与集团公司存在关联关系的公司（含全资公司、控股公司）。</w:t>
      </w:r>
    </w:p>
    <w:p w14:paraId="53745CC9">
      <w:pPr>
        <w:spacing w:beforeLines="0" w:afterLines="0" w:line="240" w:lineRule="auto"/>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四</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本次挂牌出让宗地设定土地合理上限价格</w:t>
      </w:r>
      <w:r>
        <w:rPr>
          <w:rFonts w:hint="eastAsia" w:ascii="Times New Roman" w:hAnsi="Times New Roman" w:eastAsia="仿宋_GB2312" w:cs="Times New Roman"/>
          <w:color w:val="auto"/>
          <w:sz w:val="28"/>
          <w:highlight w:val="none"/>
          <w:lang w:val="en-US" w:eastAsia="zh-CN"/>
        </w:rPr>
        <w:t>114080</w:t>
      </w:r>
      <w:r>
        <w:rPr>
          <w:rFonts w:hint="default" w:ascii="Times New Roman" w:hAnsi="Times New Roman" w:eastAsia="仿宋_GB2312" w:cs="Times New Roman"/>
          <w:color w:val="auto"/>
          <w:sz w:val="28"/>
          <w:highlight w:val="none"/>
        </w:rPr>
        <w:t>万元，当竞买报价达到土地合理上限价格时，则不再接受更高报价，转为现场摇号方式确定竞得人，参与现场摇号的竞买人须提交《高标准住宅建设承诺书》。</w:t>
      </w:r>
    </w:p>
    <w:p w14:paraId="12351F74">
      <w:pPr>
        <w:keepNext w:val="0"/>
        <w:keepLines w:val="0"/>
        <w:pageBreakBefore w:val="0"/>
        <w:kinsoku/>
        <w:overflowPunct/>
        <w:topLinePunct w:val="0"/>
        <w:autoSpaceDE/>
        <w:autoSpaceDN/>
        <w:bidi w:val="0"/>
        <w:adjustRightInd/>
        <w:spacing w:beforeLines="0" w:afterLines="0" w:line="560" w:lineRule="exact"/>
        <w:ind w:firstLine="560" w:firstLineChars="200"/>
        <w:rPr>
          <w:rFonts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五、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14:paraId="0E522A90">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六</w:t>
      </w:r>
      <w:r>
        <w:rPr>
          <w:rFonts w:hint="default" w:ascii="Times New Roman" w:hAnsi="Times New Roman" w:eastAsia="仿宋_GB2312" w:cs="Times New Roman"/>
          <w:color w:val="auto"/>
          <w:sz w:val="28"/>
          <w:highlight w:val="none"/>
        </w:rPr>
        <w:t>、竞得人或竞买人有下列行为之一，视为违约：</w:t>
      </w:r>
    </w:p>
    <w:p w14:paraId="1FB20FB8">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（一）</w:t>
      </w:r>
      <w:r>
        <w:rPr>
          <w:rFonts w:hint="default" w:ascii="Times New Roman" w:hAnsi="Times New Roman" w:eastAsia="仿宋_GB2312" w:cs="Times New Roman"/>
          <w:color w:val="auto"/>
          <w:sz w:val="28"/>
          <w:highlight w:val="none"/>
        </w:rPr>
        <w:t xml:space="preserve">在宗地竞买期限内要求撤回其竞买报价的; </w:t>
      </w:r>
    </w:p>
    <w:p w14:paraId="582579A4">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（二）</w:t>
      </w:r>
      <w:r>
        <w:rPr>
          <w:rFonts w:hint="default" w:ascii="Times New Roman" w:hAnsi="Times New Roman" w:eastAsia="仿宋_GB2312" w:cs="Times New Roman"/>
          <w:color w:val="auto"/>
          <w:sz w:val="28"/>
          <w:highlight w:val="none"/>
        </w:rPr>
        <w:t>提供虚假证明文件或隐瞒事实的；</w:t>
      </w:r>
    </w:p>
    <w:p w14:paraId="670131D7">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（三）</w:t>
      </w:r>
      <w:r>
        <w:rPr>
          <w:rFonts w:hint="default" w:ascii="Times New Roman" w:hAnsi="Times New Roman" w:eastAsia="仿宋_GB2312" w:cs="Times New Roman"/>
          <w:color w:val="auto"/>
          <w:sz w:val="28"/>
          <w:highlight w:val="none"/>
        </w:rPr>
        <w:t>逾期未签订《国有建设用地使用权出让合同》的、逾期未签订《</w:t>
      </w:r>
      <w:r>
        <w:rPr>
          <w:rFonts w:hint="eastAsia" w:ascii="Times New Roman" w:hAnsi="Times New Roman" w:eastAsia="仿宋_GB2312" w:cs="Times New Roman"/>
          <w:color w:val="auto"/>
          <w:sz w:val="28"/>
          <w:highlight w:val="none"/>
          <w:lang w:eastAsia="zh-CN"/>
        </w:rPr>
        <w:t>交地</w:t>
      </w:r>
      <w:r>
        <w:rPr>
          <w:rFonts w:hint="default" w:ascii="Times New Roman" w:hAnsi="Times New Roman" w:eastAsia="仿宋_GB2312" w:cs="Times New Roman"/>
          <w:color w:val="auto"/>
          <w:sz w:val="28"/>
          <w:highlight w:val="none"/>
        </w:rPr>
        <w:t>协议》的（若逾期未签订以上有关合同、协议是由于不可抗力造成的，则本条款不适用）；</w:t>
      </w:r>
    </w:p>
    <w:p w14:paraId="657C3D1E">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（四）</w:t>
      </w:r>
      <w:r>
        <w:rPr>
          <w:rFonts w:hint="default" w:ascii="Times New Roman" w:hAnsi="Times New Roman" w:eastAsia="仿宋_GB2312" w:cs="Times New Roman"/>
          <w:color w:val="auto"/>
          <w:sz w:val="28"/>
          <w:highlight w:val="none"/>
        </w:rPr>
        <w:t>所交竞买保证金及竞得后支付的全部地价款资金来源与承诺不符或违反规定的，或者不配合相关部门对其地价款来源进行取证、审查等工作的；</w:t>
      </w:r>
    </w:p>
    <w:p w14:paraId="147E4809">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（五）</w:t>
      </w:r>
      <w:r>
        <w:rPr>
          <w:rFonts w:hint="default" w:ascii="Times New Roman" w:hAnsi="Times New Roman" w:eastAsia="仿宋_GB2312" w:cs="Times New Roman"/>
          <w:color w:val="auto"/>
          <w:sz w:val="28"/>
          <w:highlight w:val="none"/>
        </w:rPr>
        <w:t>未遵守本</w:t>
      </w:r>
      <w:r>
        <w:rPr>
          <w:rFonts w:hint="eastAsia" w:ascii="Times New Roman" w:hAnsi="Times New Roman" w:eastAsia="仿宋_GB2312" w:cs="Times New Roman"/>
          <w:color w:val="auto"/>
          <w:sz w:val="28"/>
          <w:highlight w:val="none"/>
          <w:lang w:eastAsia="zh-CN"/>
        </w:rPr>
        <w:t>出让</w:t>
      </w:r>
      <w:r>
        <w:rPr>
          <w:rFonts w:hint="default" w:ascii="Times New Roman" w:hAnsi="Times New Roman" w:eastAsia="仿宋_GB2312" w:cs="Times New Roman"/>
          <w:color w:val="auto"/>
          <w:sz w:val="28"/>
          <w:highlight w:val="none"/>
        </w:rPr>
        <w:t>交易文件的其他有关规定的。</w:t>
      </w:r>
    </w:p>
    <w:p w14:paraId="1E108B84">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竞买人或竞得人有上述任一违约行为的，出让人可取消其竞买或竞得资格。竞买人或竞得人须承担相应的经济责任和法律责任，造成</w:t>
      </w:r>
      <w:bookmarkStart w:id="4" w:name="_GoBack"/>
      <w:bookmarkEnd w:id="4"/>
      <w:r>
        <w:rPr>
          <w:rFonts w:hint="default" w:ascii="Times New Roman" w:hAnsi="Times New Roman" w:eastAsia="仿宋_GB2312" w:cs="Times New Roman"/>
          <w:color w:val="auto"/>
          <w:sz w:val="28"/>
          <w:highlight w:val="none"/>
        </w:rPr>
        <w:t>损失的，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一年内不得参加北京市土地竞买活动，出让人将竞得人违约行为及处理结果向社会公告。</w:t>
      </w:r>
    </w:p>
    <w:p w14:paraId="094BF723">
      <w:pPr>
        <w:keepNext w:val="0"/>
        <w:keepLines w:val="0"/>
        <w:pageBreakBefore w:val="0"/>
        <w:kinsoku/>
        <w:overflowPunct/>
        <w:topLinePunct w:val="0"/>
        <w:autoSpaceDE/>
        <w:autoSpaceDN/>
        <w:bidi w:val="0"/>
        <w:adjustRightInd/>
        <w:spacing w:beforeLines="0" w:afterLines="0" w:line="560" w:lineRule="exact"/>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七</w:t>
      </w:r>
      <w:r>
        <w:rPr>
          <w:rFonts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rPr>
        <w:t>本次挂牌出让竞买申请起始时间为</w:t>
      </w:r>
      <w:r>
        <w:rPr>
          <w:rFonts w:hint="eastAsia" w:ascii="Times New Roman" w:hAnsi="Times New Roman" w:eastAsia="仿宋_GB2312" w:cs="Times New Roman"/>
          <w:color w:val="auto"/>
          <w:sz w:val="28"/>
          <w:highlight w:val="none"/>
          <w:lang w:eastAsia="zh-CN"/>
        </w:rPr>
        <w:t>2</w:t>
      </w:r>
      <w:r>
        <w:rPr>
          <w:rFonts w:hint="eastAsia" w:ascii="Times New Roman" w:hAnsi="Times New Roman" w:eastAsia="仿宋_GB2312" w:cs="Times New Roman"/>
          <w:color w:val="auto"/>
          <w:sz w:val="28"/>
          <w:highlight w:val="none"/>
          <w:lang w:val="en-US" w:eastAsia="zh-CN"/>
        </w:rPr>
        <w:t>024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9：00时起，竞买申请截止时间为202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22</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w:t>
      </w:r>
      <w:r>
        <w:rPr>
          <w:rFonts w:hint="default" w:ascii="Times New Roman" w:hAnsi="Times New Roman" w:eastAsia="仿宋_GB2312" w:cs="Times New Roman"/>
          <w:color w:val="auto"/>
          <w:sz w:val="28"/>
          <w:highlight w:val="none"/>
          <w:lang w:val="en-US" w:eastAsia="zh-CN"/>
        </w:rPr>
        <w:t>7</w:t>
      </w:r>
      <w:r>
        <w:rPr>
          <w:rFonts w:hint="default" w:ascii="Times New Roman" w:hAnsi="Times New Roman" w:eastAsia="仿宋_GB2312" w:cs="Times New Roman"/>
          <w:color w:val="auto"/>
          <w:sz w:val="28"/>
          <w:highlight w:val="none"/>
        </w:rPr>
        <w:t>：00时止；挂牌竞价起始时间为202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9：00时起，挂牌竞价截止时间为202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23</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15：00时止</w:t>
      </w:r>
      <w:r>
        <w:rPr>
          <w:rFonts w:ascii="Times New Roman" w:hAnsi="Times New Roman" w:eastAsia="仿宋_GB2312" w:cs="Times New Roman"/>
          <w:color w:val="auto"/>
          <w:sz w:val="28"/>
          <w:highlight w:val="none"/>
        </w:rPr>
        <w:t>。</w:t>
      </w:r>
    </w:p>
    <w:p w14:paraId="32F8ACCD">
      <w:pPr>
        <w:keepNext w:val="0"/>
        <w:keepLines w:val="0"/>
        <w:pageBreakBefore w:val="0"/>
        <w:kinsoku/>
        <w:overflowPunct/>
        <w:topLinePunct w:val="0"/>
        <w:autoSpaceDE/>
        <w:autoSpaceDN/>
        <w:bidi w:val="0"/>
        <w:adjustRightInd/>
        <w:spacing w:beforeLines="0" w:afterLines="0" w:line="560" w:lineRule="exact"/>
        <w:ind w:firstLine="560" w:firstLineChars="200"/>
        <w:rPr>
          <w:rFonts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八</w:t>
      </w:r>
      <w:r>
        <w:rPr>
          <w:rFonts w:ascii="Times New Roman" w:hAnsi="Times New Roman" w:eastAsia="仿宋_GB2312" w:cs="Times New Roman"/>
          <w:color w:val="auto"/>
          <w:sz w:val="28"/>
          <w:highlight w:val="none"/>
        </w:rPr>
        <w:t>、本次挂牌不接受电话、邮寄及口头报价。</w:t>
      </w:r>
    </w:p>
    <w:p w14:paraId="6B52D620">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eastAsia" w:ascii="Times New Roman" w:hAnsi="Times New Roman" w:eastAsia="仿宋_GB2312" w:cs="Times New Roman"/>
          <w:color w:val="auto"/>
          <w:sz w:val="28"/>
          <w:highlight w:val="none"/>
          <w:lang w:eastAsia="zh-CN"/>
        </w:rPr>
        <w:t>九</w:t>
      </w:r>
      <w:r>
        <w:rPr>
          <w:rFonts w:ascii="Times New Roman" w:hAnsi="Times New Roman" w:eastAsia="仿宋_GB2312" w:cs="Times New Roman"/>
          <w:color w:val="auto"/>
          <w:sz w:val="28"/>
          <w:highlight w:val="none"/>
        </w:rPr>
        <w:t>、本次挂牌出让的详细资料和竞买要求请参阅有关挂牌文件。挂牌文件于202</w:t>
      </w:r>
      <w:r>
        <w:rPr>
          <w:rFonts w:hint="default" w:ascii="Times New Roman" w:hAnsi="Times New Roman" w:eastAsia="仿宋_GB2312" w:cs="Times New Roman"/>
          <w:color w:val="auto"/>
          <w:sz w:val="28"/>
          <w:highlight w:val="none"/>
          <w:lang w:val="en-US"/>
        </w:rPr>
        <w:t>4</w:t>
      </w:r>
      <w:r>
        <w:rPr>
          <w:rFonts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9:00</w:t>
      </w:r>
      <w:r>
        <w:rPr>
          <w:rFonts w:ascii="Times New Roman" w:hAnsi="Times New Roman" w:eastAsia="仿宋_GB2312" w:cs="Times New Roman"/>
          <w:color w:val="auto"/>
          <w:sz w:val="28"/>
          <w:highlight w:val="none"/>
        </w:rPr>
        <w:t>起</w:t>
      </w:r>
      <w:r>
        <w:rPr>
          <w:rFonts w:hint="default" w:ascii="Times New Roman" w:hAnsi="Times New Roman" w:eastAsia="仿宋_GB2312" w:cs="Times New Roman"/>
          <w:color w:val="auto"/>
          <w:sz w:val="28"/>
          <w:highlight w:val="none"/>
        </w:rPr>
        <w:t>，可在北京市规划和自然资源委员会网站（http://</w:t>
      </w:r>
      <w:r>
        <w:rPr>
          <w:rFonts w:ascii="Times New Roman" w:hAnsi="Times New Roman" w:eastAsia="仿宋_GB2312" w:cs="Times New Roman"/>
          <w:color w:val="auto"/>
          <w:sz w:val="28"/>
          <w:highlight w:val="none"/>
        </w:rPr>
        <w:t>ghzrzyw.beijing.gov.cn</w:t>
      </w:r>
      <w:r>
        <w:rPr>
          <w:rFonts w:hint="default" w:ascii="Times New Roman" w:hAnsi="Times New Roman" w:eastAsia="仿宋_GB2312" w:cs="Times New Roman"/>
          <w:color w:val="auto"/>
          <w:sz w:val="28"/>
          <w:highlight w:val="none"/>
        </w:rPr>
        <w:t>）</w:t>
      </w:r>
      <w:r>
        <w:rPr>
          <w:rFonts w:hint="default" w:ascii="Times New Roman" w:hAnsi="Times New Roman" w:eastAsia="仿宋_GB2312" w:cs="Times New Roman"/>
          <w:color w:val="auto"/>
          <w:sz w:val="28"/>
          <w:highlight w:val="none"/>
          <w:lang w:eastAsia="zh-CN"/>
        </w:rPr>
        <w:t>或北京市公共资源交易服务平台网站（</w:t>
      </w:r>
      <w:r>
        <w:rPr>
          <w:rFonts w:hint="default" w:ascii="Times New Roman" w:hAnsi="Times New Roman" w:eastAsia="仿宋_GB2312" w:cs="Times New Roman"/>
          <w:color w:val="auto"/>
          <w:sz w:val="28"/>
          <w:highlight w:val="none"/>
        </w:rPr>
        <w:t>http://</w:t>
      </w:r>
      <w:r>
        <w:rPr>
          <w:rFonts w:ascii="Times New Roman" w:hAnsi="Times New Roman" w:eastAsia="仿宋_GB2312" w:cs="Times New Roman"/>
          <w:color w:val="auto"/>
          <w:sz w:val="28"/>
          <w:highlight w:val="none"/>
        </w:rPr>
        <w:t>g</w:t>
      </w:r>
      <w:r>
        <w:rPr>
          <w:rFonts w:hint="default" w:ascii="Times New Roman" w:hAnsi="Times New Roman" w:eastAsia="仿宋_GB2312" w:cs="Times New Roman"/>
          <w:color w:val="auto"/>
          <w:sz w:val="28"/>
          <w:highlight w:val="none"/>
          <w:lang w:val="en-US" w:eastAsia="zh-CN"/>
        </w:rPr>
        <w:t>gzyf</w:t>
      </w:r>
      <w:r>
        <w:rPr>
          <w:rFonts w:ascii="Times New Roman" w:hAnsi="Times New Roman" w:eastAsia="仿宋_GB2312" w:cs="Times New Roman"/>
          <w:color w:val="auto"/>
          <w:sz w:val="28"/>
          <w:highlight w:val="none"/>
        </w:rPr>
        <w:t>w.beijing.gov.cn</w:t>
      </w:r>
      <w:r>
        <w:rPr>
          <w:rFonts w:hint="default" w:ascii="Times New Roman" w:hAnsi="Times New Roman" w:eastAsia="仿宋_GB2312" w:cs="Times New Roman"/>
          <w:color w:val="auto"/>
          <w:sz w:val="28"/>
          <w:highlight w:val="none"/>
          <w:lang w:eastAsia="zh-CN"/>
        </w:rPr>
        <w:t>）</w:t>
      </w:r>
      <w:r>
        <w:rPr>
          <w:rFonts w:ascii="Times New Roman" w:hAnsi="Times New Roman" w:eastAsia="仿宋_GB2312" w:cs="Times New Roman"/>
          <w:color w:val="auto"/>
          <w:sz w:val="28"/>
          <w:highlight w:val="none"/>
        </w:rPr>
        <w:t>下载。</w:t>
      </w:r>
    </w:p>
    <w:p w14:paraId="21140B66">
      <w:pPr>
        <w:keepNext w:val="0"/>
        <w:keepLines w:val="0"/>
        <w:pageBreakBefore w:val="0"/>
        <w:kinsoku/>
        <w:overflowPunct/>
        <w:topLinePunct w:val="0"/>
        <w:autoSpaceDE/>
        <w:autoSpaceDN/>
        <w:bidi w:val="0"/>
        <w:adjustRightInd/>
        <w:spacing w:beforeLines="0" w:afterLines="0" w:line="560" w:lineRule="exact"/>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十、房屋销售价格查询方式</w:t>
      </w:r>
    </w:p>
    <w:p w14:paraId="33258856">
      <w:pPr>
        <w:pStyle w:val="4"/>
        <w:keepNext w:val="0"/>
        <w:keepLines w:val="0"/>
        <w:pageBreakBefore w:val="0"/>
        <w:tabs>
          <w:tab w:val="left" w:pos="1429"/>
          <w:tab w:val="left" w:pos="1785"/>
        </w:tabs>
        <w:kinsoku/>
        <w:overflowPunct/>
        <w:topLinePunct w:val="0"/>
        <w:autoSpaceDE/>
        <w:autoSpaceDN/>
        <w:bidi w:val="0"/>
        <w:adjustRightInd/>
        <w:spacing w:before="0" w:beforeLines="0" w:after="0" w:afterLines="0" w:line="560" w:lineRule="exact"/>
        <w:ind w:firstLine="560" w:firstLineChars="200"/>
        <w:rPr>
          <w:rFonts w:hint="default" w:ascii="Times New Roman" w:hAnsi="Times New Roman" w:eastAsia="仿宋_GB2312" w:cs="Times New Roman"/>
          <w:color w:val="auto"/>
          <w:sz w:val="28"/>
          <w:highlight w:val="none"/>
        </w:rPr>
      </w:pPr>
      <w:r>
        <w:rPr>
          <w:rFonts w:hint="default" w:ascii="Times New Roman" w:hAnsi="Times New Roman" w:eastAsia="仿宋_GB2312" w:cs="Times New Roman"/>
          <w:color w:val="auto"/>
          <w:sz w:val="28"/>
          <w:highlight w:val="none"/>
        </w:rPr>
        <w:t>竞买人提交的《房屋售价承诺书》涉及的商品房销售均价，可向北京市住房和城乡建设委员会电话咨询，时间202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10</w:t>
      </w:r>
      <w:r>
        <w:rPr>
          <w:rFonts w:hint="default" w:ascii="Times New Roman" w:hAnsi="Times New Roman" w:eastAsia="仿宋_GB2312" w:cs="Times New Roman"/>
          <w:color w:val="auto"/>
          <w:sz w:val="28"/>
          <w:highlight w:val="none"/>
        </w:rPr>
        <w:t>月</w:t>
      </w:r>
      <w:r>
        <w:rPr>
          <w:rFonts w:hint="eastAsia" w:ascii="Times New Roman" w:hAnsi="Times New Roman" w:eastAsia="仿宋_GB2312" w:cs="Times New Roman"/>
          <w:color w:val="auto"/>
          <w:sz w:val="28"/>
          <w:highlight w:val="none"/>
          <w:lang w:val="en-US" w:eastAsia="zh-CN"/>
        </w:rPr>
        <w:t>22</w:t>
      </w:r>
      <w:r>
        <w:rPr>
          <w:rFonts w:hint="default" w:ascii="Times New Roman" w:hAnsi="Times New Roman" w:eastAsia="仿宋_GB2312" w:cs="Times New Roman"/>
          <w:color w:val="auto"/>
          <w:sz w:val="28"/>
          <w:highlight w:val="none"/>
        </w:rPr>
        <w:t>日，每工作日上午9:30-12:00，下午14:30-17:00，电话：010-55597352、010-55597351。</w:t>
      </w:r>
    </w:p>
    <w:p w14:paraId="42E17983">
      <w:pPr>
        <w:pStyle w:val="4"/>
        <w:keepNext w:val="0"/>
        <w:keepLines w:val="0"/>
        <w:pageBreakBefore w:val="0"/>
        <w:tabs>
          <w:tab w:val="left" w:pos="1429"/>
          <w:tab w:val="left" w:pos="1785"/>
        </w:tabs>
        <w:kinsoku/>
        <w:overflowPunct/>
        <w:topLinePunct w:val="0"/>
        <w:autoSpaceDE/>
        <w:autoSpaceDN/>
        <w:bidi w:val="0"/>
        <w:adjustRightInd/>
        <w:spacing w:before="0" w:beforeLines="0" w:after="0" w:afterLines="0" w:line="560" w:lineRule="exact"/>
        <w:ind w:firstLine="560" w:firstLineChars="200"/>
        <w:rPr>
          <w:rFonts w:hint="default" w:ascii="Times New Roman" w:hAnsi="Times New Roman" w:eastAsia="仿宋_GB2312" w:cs="Times New Roman"/>
          <w:color w:val="auto"/>
          <w:sz w:val="28"/>
          <w:highlight w:val="none"/>
          <w:lang w:eastAsia="zh-CN"/>
        </w:rPr>
      </w:pPr>
      <w:r>
        <w:rPr>
          <w:rFonts w:hint="eastAsia" w:ascii="Times New Roman" w:hAnsi="Times New Roman" w:eastAsia="仿宋_GB2312" w:cs="Times New Roman"/>
          <w:color w:val="auto"/>
          <w:sz w:val="28"/>
          <w:highlight w:val="none"/>
          <w:lang w:eastAsia="zh-CN"/>
        </w:rPr>
        <w:t>十一、</w:t>
      </w:r>
      <w:r>
        <w:rPr>
          <w:rFonts w:hint="default" w:ascii="Times New Roman" w:hAnsi="Times New Roman" w:eastAsia="仿宋_GB2312" w:cs="Times New Roman"/>
          <w:color w:val="auto"/>
          <w:sz w:val="28"/>
          <w:highlight w:val="none"/>
          <w:lang w:eastAsia="zh-CN"/>
        </w:rPr>
        <w:t>联系方式</w:t>
      </w:r>
    </w:p>
    <w:p w14:paraId="54EB4101">
      <w:pPr>
        <w:pStyle w:val="4"/>
        <w:keepNext w:val="0"/>
        <w:keepLines w:val="0"/>
        <w:pageBreakBefore w:val="0"/>
        <w:kinsoku/>
        <w:overflowPunct/>
        <w:topLinePunct w:val="0"/>
        <w:autoSpaceDE/>
        <w:autoSpaceDN/>
        <w:bidi w:val="0"/>
        <w:adjustRightInd/>
        <w:spacing w:beforeLines="0" w:after="0" w:afterLines="0" w:line="560" w:lineRule="exact"/>
        <w:ind w:firstLine="560" w:firstLineChars="200"/>
        <w:rPr>
          <w:rFonts w:hint="eastAsia"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（一）北京城市副中心管理委员会</w:t>
      </w:r>
    </w:p>
    <w:p w14:paraId="185536C5">
      <w:pPr>
        <w:pStyle w:val="4"/>
        <w:keepNext w:val="0"/>
        <w:keepLines w:val="0"/>
        <w:pageBreakBefore w:val="0"/>
        <w:kinsoku/>
        <w:overflowPunct/>
        <w:topLinePunct w:val="0"/>
        <w:autoSpaceDE/>
        <w:autoSpaceDN/>
        <w:bidi w:val="0"/>
        <w:adjustRightInd/>
        <w:spacing w:beforeLines="0" w:after="0" w:afterLines="0" w:line="560" w:lineRule="exact"/>
        <w:ind w:firstLine="560" w:firstLineChars="200"/>
        <w:rPr>
          <w:rFonts w:hint="eastAsia"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联系方式：010-5559</w:t>
      </w:r>
      <w:r>
        <w:rPr>
          <w:rFonts w:hint="eastAsia" w:ascii="Times New Roman" w:hAnsi="Times New Roman" w:eastAsia="仿宋_GB2312" w:cs="Times New Roman"/>
          <w:color w:val="auto"/>
          <w:sz w:val="28"/>
          <w:highlight w:val="none"/>
          <w:lang w:val="en-US" w:eastAsia="zh-CN"/>
        </w:rPr>
        <w:t>5232、55595590</w:t>
      </w:r>
    </w:p>
    <w:p w14:paraId="3F31A02F">
      <w:pPr>
        <w:pStyle w:val="4"/>
        <w:keepNext w:val="0"/>
        <w:keepLines w:val="0"/>
        <w:pageBreakBefore w:val="0"/>
        <w:kinsoku/>
        <w:overflowPunct/>
        <w:topLinePunct w:val="0"/>
        <w:autoSpaceDE/>
        <w:autoSpaceDN/>
        <w:bidi w:val="0"/>
        <w:adjustRightInd/>
        <w:spacing w:beforeLines="0" w:after="0" w:afterLines="0" w:line="560" w:lineRule="exact"/>
        <w:ind w:firstLine="560" w:firstLineChars="200"/>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（二）</w:t>
      </w:r>
      <w:r>
        <w:rPr>
          <w:rFonts w:hint="default" w:ascii="Times New Roman" w:hAnsi="Times New Roman" w:eastAsia="仿宋_GB2312" w:cs="Times New Roman"/>
          <w:color w:val="auto"/>
          <w:sz w:val="28"/>
          <w:highlight w:val="none"/>
          <w:lang w:val="en-US" w:eastAsia="zh-CN"/>
        </w:rPr>
        <w:t>北京市公共资源交易中心</w:t>
      </w:r>
    </w:p>
    <w:p w14:paraId="6D1B8DDD">
      <w:pPr>
        <w:pStyle w:val="4"/>
        <w:keepNext w:val="0"/>
        <w:keepLines w:val="0"/>
        <w:pageBreakBefore w:val="0"/>
        <w:kinsoku/>
        <w:overflowPunct/>
        <w:topLinePunct w:val="0"/>
        <w:autoSpaceDE/>
        <w:autoSpaceDN/>
        <w:bidi w:val="0"/>
        <w:adjustRightInd/>
        <w:spacing w:beforeLines="0" w:after="0" w:afterLines="0" w:line="560" w:lineRule="exact"/>
        <w:ind w:firstLine="560" w:firstLineChars="200"/>
        <w:rPr>
          <w:rFonts w:hint="default" w:ascii="Times New Roman" w:hAnsi="Times New Roman" w:eastAsia="仿宋_GB2312" w:cs="Times New Roman"/>
          <w:color w:val="auto"/>
          <w:sz w:val="28"/>
          <w:highlight w:val="none"/>
          <w:lang w:val="en-US" w:eastAsia="zh-CN"/>
        </w:rPr>
      </w:pPr>
      <w:r>
        <w:rPr>
          <w:rFonts w:hint="default" w:ascii="Times New Roman" w:hAnsi="Times New Roman" w:eastAsia="仿宋_GB2312" w:cs="Times New Roman"/>
          <w:color w:val="auto"/>
          <w:sz w:val="28"/>
          <w:highlight w:val="none"/>
          <w:lang w:val="en-US" w:eastAsia="zh-CN"/>
        </w:rPr>
        <w:t>联系方式：010-</w:t>
      </w:r>
      <w:r>
        <w:rPr>
          <w:rFonts w:ascii="Times New Roman" w:hAnsi="Times New Roman" w:eastAsia="仿宋_GB2312" w:cs="Times New Roman"/>
          <w:color w:val="auto"/>
          <w:sz w:val="28"/>
          <w:highlight w:val="none"/>
          <w:lang w:val="en-US" w:eastAsia="zh-CN"/>
        </w:rPr>
        <w:t>83916783</w:t>
      </w:r>
      <w:r>
        <w:rPr>
          <w:rFonts w:hint="default" w:ascii="Times New Roman" w:hAnsi="Times New Roman" w:eastAsia="仿宋_GB2312" w:cs="Times New Roman"/>
          <w:color w:val="auto"/>
          <w:sz w:val="28"/>
          <w:highlight w:val="none"/>
          <w:lang w:val="en-US" w:eastAsia="zh-CN"/>
        </w:rPr>
        <w:t>、</w:t>
      </w:r>
      <w:r>
        <w:rPr>
          <w:rFonts w:ascii="Times New Roman" w:hAnsi="Times New Roman" w:eastAsia="仿宋_GB2312" w:cs="Times New Roman"/>
          <w:color w:val="auto"/>
          <w:sz w:val="28"/>
          <w:highlight w:val="none"/>
          <w:lang w:val="en-US" w:eastAsia="zh-CN"/>
        </w:rPr>
        <w:t>83916781</w:t>
      </w:r>
    </w:p>
    <w:p w14:paraId="19A2977B">
      <w:pPr>
        <w:pStyle w:val="4"/>
        <w:keepNext w:val="0"/>
        <w:keepLines w:val="0"/>
        <w:pageBreakBefore w:val="0"/>
        <w:kinsoku/>
        <w:overflowPunct/>
        <w:topLinePunct w:val="0"/>
        <w:autoSpaceDE/>
        <w:autoSpaceDN/>
        <w:bidi w:val="0"/>
        <w:adjustRightInd/>
        <w:spacing w:beforeLines="0" w:after="0" w:afterLines="0" w:line="560" w:lineRule="exact"/>
        <w:ind w:firstLine="560" w:firstLineChars="200"/>
        <w:rPr>
          <w:rFonts w:hint="default"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kern w:val="2"/>
          <w:sz w:val="28"/>
          <w:szCs w:val="24"/>
          <w:highlight w:val="none"/>
          <w:lang w:val="en-US" w:eastAsia="zh-CN" w:bidi="ar-SA"/>
        </w:rPr>
        <w:t>地址：北京市西三环南路1号北京市政务服务中心5层</w:t>
      </w:r>
    </w:p>
    <w:p w14:paraId="2816A823">
      <w:pPr>
        <w:keepNext w:val="0"/>
        <w:keepLines w:val="0"/>
        <w:pageBreakBefore w:val="0"/>
        <w:kinsoku/>
        <w:overflowPunct/>
        <w:topLinePunct w:val="0"/>
        <w:autoSpaceDE/>
        <w:autoSpaceDN/>
        <w:bidi w:val="0"/>
        <w:adjustRightInd/>
        <w:spacing w:beforeLines="0" w:afterLines="0" w:line="560" w:lineRule="exact"/>
        <w:ind w:right="0" w:firstLine="560" w:firstLineChars="200"/>
        <w:jc w:val="left"/>
        <w:rPr>
          <w:rFonts w:hint="default" w:ascii="Times New Roman" w:hAnsi="Times New Roman" w:eastAsia="仿宋_GB2312" w:cs="Times New Roman"/>
          <w:color w:val="auto"/>
          <w:sz w:val="28"/>
          <w:highlight w:val="none"/>
          <w:lang w:val="en-US" w:eastAsia="zh-CN"/>
        </w:rPr>
      </w:pPr>
      <w:r>
        <w:rPr>
          <w:rFonts w:hint="eastAsia" w:ascii="Times New Roman" w:hAnsi="Times New Roman" w:eastAsia="仿宋_GB2312" w:cs="Times New Roman"/>
          <w:color w:val="auto"/>
          <w:sz w:val="28"/>
          <w:highlight w:val="none"/>
          <w:lang w:val="en-US" w:eastAsia="zh-CN"/>
        </w:rPr>
        <w:t>（三）通州区</w:t>
      </w:r>
      <w:r>
        <w:rPr>
          <w:rFonts w:hint="default" w:ascii="Times New Roman" w:hAnsi="Times New Roman" w:eastAsia="仿宋_GB2312" w:cs="Times New Roman"/>
          <w:color w:val="auto"/>
          <w:sz w:val="28"/>
          <w:highlight w:val="none"/>
          <w:lang w:val="en-US" w:eastAsia="zh-CN"/>
        </w:rPr>
        <w:t>规划和自然资源综合事务中心</w:t>
      </w:r>
    </w:p>
    <w:p w14:paraId="0B0CEBEA">
      <w:pPr>
        <w:keepNext w:val="0"/>
        <w:keepLines w:val="0"/>
        <w:pageBreakBefore w:val="0"/>
        <w:kinsoku/>
        <w:overflowPunct/>
        <w:topLinePunct w:val="0"/>
        <w:autoSpaceDE/>
        <w:autoSpaceDN/>
        <w:bidi w:val="0"/>
        <w:adjustRightInd/>
        <w:spacing w:beforeLines="0" w:afterLines="0" w:line="560" w:lineRule="exact"/>
        <w:ind w:right="0" w:firstLine="560" w:firstLineChars="200"/>
        <w:jc w:val="left"/>
        <w:rPr>
          <w:rFonts w:hint="eastAsia" w:ascii="Times New Roman" w:hAnsi="Times New Roman" w:eastAsia="仿宋_GB2312" w:cs="Times New Roman"/>
          <w:color w:val="auto"/>
          <w:kern w:val="2"/>
          <w:sz w:val="28"/>
          <w:szCs w:val="24"/>
          <w:highlight w:val="none"/>
          <w:lang w:val="en-US" w:eastAsia="zh-CN" w:bidi="ar-SA"/>
        </w:rPr>
      </w:pPr>
      <w:r>
        <w:rPr>
          <w:rFonts w:hint="default" w:ascii="Times New Roman" w:hAnsi="Times New Roman" w:eastAsia="仿宋_GB2312" w:cs="Times New Roman"/>
          <w:color w:val="auto"/>
          <w:sz w:val="28"/>
          <w:highlight w:val="none"/>
        </w:rPr>
        <w:t>联系</w:t>
      </w:r>
      <w:r>
        <w:rPr>
          <w:rFonts w:hint="default" w:ascii="Times New Roman" w:hAnsi="Times New Roman" w:eastAsia="仿宋_GB2312" w:cs="Times New Roman"/>
          <w:color w:val="auto"/>
          <w:sz w:val="28"/>
          <w:highlight w:val="none"/>
          <w:lang w:val="en-US" w:eastAsia="zh-CN"/>
        </w:rPr>
        <w:t>方式</w:t>
      </w:r>
      <w:r>
        <w:rPr>
          <w:rFonts w:hint="default" w:ascii="Times New Roman" w:hAnsi="Times New Roman" w:eastAsia="仿宋_GB2312" w:cs="Times New Roman"/>
          <w:color w:val="auto"/>
          <w:sz w:val="28"/>
          <w:highlight w:val="none"/>
        </w:rPr>
        <w:t>：010-</w:t>
      </w:r>
      <w:r>
        <w:rPr>
          <w:rFonts w:hint="eastAsia" w:ascii="Times New Roman" w:hAnsi="Times New Roman" w:eastAsia="仿宋_GB2312" w:cs="Times New Roman"/>
          <w:color w:val="auto"/>
          <w:sz w:val="28"/>
          <w:highlight w:val="none"/>
          <w:lang w:val="en-US" w:eastAsia="zh-CN"/>
        </w:rPr>
        <w:t>69550939、69550952</w:t>
      </w:r>
    </w:p>
    <w:p w14:paraId="485687EE">
      <w:pPr>
        <w:keepNext w:val="0"/>
        <w:keepLines w:val="0"/>
        <w:pageBreakBefore w:val="0"/>
        <w:kinsoku/>
        <w:overflowPunct/>
        <w:topLinePunct w:val="0"/>
        <w:autoSpaceDE/>
        <w:autoSpaceDN/>
        <w:bidi w:val="0"/>
        <w:adjustRightInd/>
        <w:spacing w:line="560" w:lineRule="exact"/>
        <w:ind w:right="-108" w:firstLine="560"/>
        <w:jc w:val="left"/>
        <w:rPr>
          <w:rFonts w:ascii="Times New Roman" w:hAnsi="Times New Roman" w:eastAsia="仿宋_GB2312" w:cs="Times New Roman"/>
          <w:color w:val="auto"/>
          <w:sz w:val="28"/>
          <w:highlight w:val="none"/>
        </w:rPr>
      </w:pPr>
    </w:p>
    <w:p w14:paraId="271CA8B4">
      <w:pPr>
        <w:keepNext w:val="0"/>
        <w:keepLines w:val="0"/>
        <w:pageBreakBefore w:val="0"/>
        <w:kinsoku/>
        <w:wordWrap w:val="0"/>
        <w:overflowPunct/>
        <w:topLinePunct w:val="0"/>
        <w:autoSpaceDE/>
        <w:autoSpaceDN/>
        <w:bidi w:val="0"/>
        <w:adjustRightInd/>
        <w:spacing w:line="560" w:lineRule="exact"/>
        <w:jc w:val="right"/>
        <w:rPr>
          <w:rFonts w:hint="default" w:ascii="Times New Roman" w:hAnsi="Times New Roman" w:eastAsia="仿宋_GB2312" w:cs="Times New Roman"/>
          <w:color w:val="auto"/>
          <w:sz w:val="28"/>
          <w:highlight w:val="none"/>
        </w:rPr>
      </w:pPr>
      <w:r>
        <w:rPr>
          <w:rFonts w:ascii="Times New Roman" w:hAnsi="Times New Roman" w:eastAsia="仿宋_GB2312" w:cs="Times New Roman"/>
          <w:color w:val="auto"/>
          <w:sz w:val="28"/>
          <w:highlight w:val="none"/>
        </w:rPr>
        <w:t xml:space="preserve">                 </w:t>
      </w:r>
      <w:r>
        <w:rPr>
          <w:rFonts w:hint="default" w:ascii="Times New Roman" w:hAnsi="Times New Roman" w:eastAsia="仿宋_GB2312" w:cs="Times New Roman"/>
          <w:color w:val="auto"/>
          <w:sz w:val="28"/>
          <w:highlight w:val="none"/>
        </w:rPr>
        <w:t xml:space="preserve"> </w:t>
      </w:r>
      <w:r>
        <w:rPr>
          <w:rFonts w:hint="eastAsia" w:ascii="Times New Roman" w:hAnsi="Times New Roman" w:eastAsia="仿宋_GB2312" w:cs="Times New Roman"/>
          <w:color w:val="auto"/>
          <w:sz w:val="28"/>
          <w:highlight w:val="none"/>
          <w:lang w:val="en-US" w:eastAsia="zh-CN"/>
        </w:rPr>
        <w:t>北京城市副中心管理委员会</w:t>
      </w:r>
      <w:r>
        <w:rPr>
          <w:rFonts w:hint="default" w:ascii="Times New Roman" w:hAnsi="Times New Roman" w:eastAsia="仿宋_GB2312" w:cs="Times New Roman"/>
          <w:color w:val="auto"/>
          <w:sz w:val="28"/>
          <w:highlight w:val="none"/>
          <w:lang w:val="en-US"/>
        </w:rPr>
        <w:t xml:space="preserve"> </w:t>
      </w:r>
    </w:p>
    <w:p w14:paraId="4D2A5004">
      <w:pPr>
        <w:keepNext w:val="0"/>
        <w:keepLines w:val="0"/>
        <w:pageBreakBefore w:val="0"/>
        <w:kinsoku/>
        <w:wordWrap w:val="0"/>
        <w:overflowPunct/>
        <w:topLinePunct w:val="0"/>
        <w:autoSpaceDE/>
        <w:autoSpaceDN/>
        <w:bidi w:val="0"/>
        <w:adjustRightInd/>
        <w:spacing w:line="560" w:lineRule="exact"/>
        <w:jc w:val="right"/>
        <w:rPr>
          <w:rFonts w:hint="default" w:ascii="Times New Roman" w:hAnsi="Times New Roman" w:eastAsia="仿宋_GB2312" w:cs="Times New Roman"/>
          <w:color w:val="auto"/>
          <w:sz w:val="28"/>
          <w:highlight w:val="none"/>
          <w:lang w:eastAsia="zh-CN"/>
        </w:rPr>
      </w:pPr>
      <w:r>
        <w:rPr>
          <w:rFonts w:hint="default" w:ascii="Times New Roman" w:hAnsi="Times New Roman" w:eastAsia="仿宋_GB2312" w:cs="Times New Roman"/>
          <w:color w:val="auto"/>
          <w:sz w:val="28"/>
          <w:highlight w:val="none"/>
          <w:lang w:val="en-US" w:eastAsia="zh-CN"/>
        </w:rPr>
        <w:t xml:space="preserve">                  </w:t>
      </w:r>
      <w:r>
        <w:rPr>
          <w:rFonts w:hint="default" w:ascii="Times New Roman" w:hAnsi="Times New Roman" w:eastAsia="仿宋_GB2312" w:cs="Times New Roman"/>
          <w:color w:val="auto"/>
          <w:sz w:val="28"/>
          <w:highlight w:val="none"/>
        </w:rPr>
        <w:t>202</w:t>
      </w:r>
      <w:r>
        <w:rPr>
          <w:rFonts w:hint="default" w:ascii="Times New Roman" w:hAnsi="Times New Roman" w:eastAsia="仿宋_GB2312" w:cs="Times New Roman"/>
          <w:color w:val="auto"/>
          <w:sz w:val="28"/>
          <w:highlight w:val="none"/>
          <w:lang w:val="en-US"/>
        </w:rPr>
        <w:t>4</w:t>
      </w:r>
      <w:r>
        <w:rPr>
          <w:rFonts w:hint="default" w:ascii="Times New Roman" w:hAnsi="Times New Roman" w:eastAsia="仿宋_GB2312" w:cs="Times New Roman"/>
          <w:color w:val="auto"/>
          <w:sz w:val="28"/>
          <w:highlight w:val="none"/>
        </w:rPr>
        <w:t>年</w:t>
      </w:r>
      <w:r>
        <w:rPr>
          <w:rFonts w:hint="eastAsia" w:ascii="Times New Roman" w:hAnsi="Times New Roman" w:eastAsia="仿宋_GB2312" w:cs="Times New Roman"/>
          <w:color w:val="auto"/>
          <w:sz w:val="28"/>
          <w:highlight w:val="none"/>
          <w:lang w:val="en-US" w:eastAsia="zh-CN"/>
        </w:rPr>
        <w:t>9</w:t>
      </w:r>
      <w:r>
        <w:rPr>
          <w:rFonts w:hint="default" w:ascii="Times New Roman" w:hAnsi="Times New Roman" w:eastAsia="仿宋_GB2312" w:cs="Times New Roman"/>
          <w:color w:val="auto"/>
          <w:sz w:val="28"/>
          <w:highlight w:val="none"/>
          <w:lang w:eastAsia="zh-CN"/>
        </w:rPr>
        <w:t>月</w:t>
      </w:r>
      <w:r>
        <w:rPr>
          <w:rFonts w:hint="eastAsia" w:ascii="Times New Roman" w:hAnsi="Times New Roman" w:eastAsia="仿宋_GB2312" w:cs="Times New Roman"/>
          <w:color w:val="auto"/>
          <w:sz w:val="28"/>
          <w:highlight w:val="none"/>
          <w:lang w:val="en-US" w:eastAsia="zh-CN"/>
        </w:rPr>
        <w:t>20</w:t>
      </w:r>
      <w:r>
        <w:rPr>
          <w:rFonts w:hint="default" w:ascii="Times New Roman" w:hAnsi="Times New Roman" w:eastAsia="仿宋_GB2312" w:cs="Times New Roman"/>
          <w:color w:val="auto"/>
          <w:sz w:val="28"/>
          <w:highlight w:val="none"/>
          <w:lang w:eastAsia="zh-CN"/>
        </w:rPr>
        <w:t>日</w:t>
      </w:r>
      <w:r>
        <w:rPr>
          <w:rFonts w:hint="default" w:ascii="Times New Roman" w:hAnsi="Times New Roman" w:eastAsia="仿宋_GB2312" w:cs="Times New Roman"/>
          <w:color w:val="auto"/>
          <w:sz w:val="28"/>
          <w:highlight w:val="none"/>
          <w:lang w:val="en-US" w:eastAsia="zh-CN"/>
        </w:rPr>
        <w:t xml:space="preserve">     </w:t>
      </w:r>
    </w:p>
    <w:p w14:paraId="55DFF25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yY2VkYWNjYTE3MDQ3MzJiZjA0ZTdmZWQ1M2Y1ZTUifQ=="/>
  </w:docVars>
  <w:rsids>
    <w:rsidRoot w:val="00000000"/>
    <w:rsid w:val="01C3674C"/>
    <w:rsid w:val="3EAB0813"/>
    <w:rsid w:val="65FFD372"/>
    <w:rsid w:val="6DEE63F1"/>
    <w:rsid w:val="9B7E684D"/>
    <w:rsid w:val="ED97009A"/>
    <w:rsid w:val="FCFCDDB1"/>
    <w:rsid w:val="FD7314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next w:val="1"/>
    <w:qFormat/>
    <w:uiPriority w:val="0"/>
    <w:pPr>
      <w:tabs>
        <w:tab w:val="center" w:pos="4153"/>
        <w:tab w:val="right" w:pos="8306"/>
      </w:tabs>
      <w:snapToGrid w:val="0"/>
      <w:jc w:val="left"/>
    </w:pPr>
    <w:rPr>
      <w:sz w:val="18"/>
      <w:szCs w:val="18"/>
    </w:rPr>
  </w:style>
  <w:style w:type="paragraph" w:styleId="6">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1720</Words>
  <Characters>2002</Characters>
  <Lines>0</Lines>
  <Paragraphs>0</Paragraphs>
  <TotalTime>6</TotalTime>
  <ScaleCrop>false</ScaleCrop>
  <LinksUpToDate>false</LinksUpToDate>
  <CharactersWithSpaces>2045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佳佳康</cp:lastModifiedBy>
  <dcterms:modified xsi:type="dcterms:W3CDTF">2024-09-20T06:38:55Z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4EBF5DEBB87B4E6A98FA5DC36B2F9627_12</vt:lpwstr>
  </property>
</Properties>
</file>